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F" w:rsidRPr="008A06BC" w:rsidRDefault="000B67DF" w:rsidP="000B67DF">
      <w:pPr>
        <w:pStyle w:val="NormalWeb"/>
        <w:pBdr>
          <w:bottom w:val="single" w:sz="4" w:space="1" w:color="auto"/>
        </w:pBdr>
        <w:snapToGrid w:val="0"/>
        <w:spacing w:before="0" w:after="0"/>
        <w:rPr>
          <w:rFonts w:ascii="Verdana" w:hAnsi="Verdana"/>
          <w:b/>
          <w:color w:val="003399"/>
          <w:sz w:val="16"/>
        </w:rPr>
      </w:pPr>
      <w:r w:rsidRPr="008A06BC">
        <w:rPr>
          <w:rFonts w:ascii="Verdana" w:hAnsi="Verdana"/>
          <w:b/>
          <w:color w:val="003399"/>
          <w:sz w:val="18"/>
        </w:rPr>
        <w:t>Descripción</w:t>
      </w:r>
    </w:p>
    <w:p w:rsidR="00C7508A" w:rsidRPr="003C352A" w:rsidRDefault="00C7508A" w:rsidP="003C352A">
      <w:pPr>
        <w:pStyle w:val="NormalWeb"/>
        <w:snapToGrid w:val="0"/>
        <w:spacing w:before="0" w:after="0"/>
        <w:rPr>
          <w:rFonts w:ascii="Verdana" w:hAnsi="Verdana"/>
          <w:b/>
          <w:color w:val="660033"/>
          <w:sz w:val="18"/>
        </w:rPr>
      </w:pPr>
      <w:r w:rsidRPr="00C7508A">
        <w:rPr>
          <w:rFonts w:ascii="Verdana" w:hAnsi="Verdana"/>
          <w:color w:val="000000"/>
          <w:sz w:val="16"/>
        </w:rPr>
        <w:t>Sellador TEKZKRETO PU es un recubrimiento acrílico-poliuretano de dos componentes para sellado y protección de alta resistencia y duración al reaccionar con un catalizador. Es ideal para una gran variedad de superficies de mucho tráfico como: cantera, ladrillo, piedra, concreto, barro, adoquín, mármol, granito, madera, etc.</w:t>
      </w:r>
    </w:p>
    <w:p w:rsidR="003C352A" w:rsidRDefault="003C352A" w:rsidP="003C352A">
      <w:pPr>
        <w:pStyle w:val="NormalWeb"/>
        <w:spacing w:before="0" w:after="0"/>
        <w:rPr>
          <w:rFonts w:ascii="Verdana" w:hAnsi="Verdana"/>
          <w:b/>
          <w:color w:val="660033"/>
          <w:sz w:val="18"/>
        </w:rPr>
      </w:pPr>
    </w:p>
    <w:p w:rsidR="00C7508A" w:rsidRPr="008A06BC" w:rsidRDefault="00C7508A" w:rsidP="003C352A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color w:val="003399"/>
          <w:sz w:val="18"/>
        </w:rPr>
      </w:pPr>
      <w:r w:rsidRPr="008A06BC">
        <w:rPr>
          <w:rFonts w:ascii="Verdana" w:hAnsi="Verdana"/>
          <w:b/>
          <w:color w:val="003399"/>
          <w:sz w:val="18"/>
        </w:rPr>
        <w:t>Propiedades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Totalmente transparente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Alta resistencia a solventes, detergentes, grasas y químicos corrosivos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Gran resistencia a la luz ultravioleta y ácidos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Excelente retención del brillo.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Impide la filtración</w:t>
      </w:r>
      <w:r>
        <w:rPr>
          <w:rFonts w:ascii="Verdana" w:hAnsi="Verdana"/>
          <w:color w:val="000000"/>
          <w:sz w:val="16"/>
        </w:rPr>
        <w:t xml:space="preserve"> de agua, sales y contaminantes.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Evita la formación de salitre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Ideal para usos en exteriores e interiores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 xml:space="preserve">Libre de </w:t>
      </w:r>
      <w:proofErr w:type="spellStart"/>
      <w:r w:rsidRPr="00C7508A">
        <w:rPr>
          <w:rFonts w:ascii="Verdana" w:hAnsi="Verdana"/>
          <w:color w:val="000000"/>
          <w:sz w:val="16"/>
        </w:rPr>
        <w:t>amarillamiento</w:t>
      </w:r>
      <w:proofErr w:type="spellEnd"/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Gran rendimiento y durabilidad a alto tráfico</w:t>
      </w:r>
      <w:r>
        <w:rPr>
          <w:rFonts w:ascii="Verdana" w:hAnsi="Verdana"/>
          <w:color w:val="000000"/>
          <w:sz w:val="16"/>
        </w:rPr>
        <w:t>.</w:t>
      </w:r>
    </w:p>
    <w:p w:rsidR="00C7508A" w:rsidRDefault="00C7508A" w:rsidP="00C7508A">
      <w:pPr>
        <w:pStyle w:val="NormalWeb"/>
        <w:numPr>
          <w:ilvl w:val="0"/>
          <w:numId w:val="24"/>
        </w:numPr>
        <w:spacing w:before="0" w:after="0"/>
        <w:rPr>
          <w:rFonts w:ascii="Verdana" w:hAnsi="Verdana"/>
          <w:b/>
          <w:color w:val="660033"/>
          <w:sz w:val="18"/>
        </w:rPr>
      </w:pPr>
      <w:r w:rsidRPr="00C7508A">
        <w:rPr>
          <w:rFonts w:ascii="Verdana" w:hAnsi="Verdana"/>
          <w:color w:val="000000"/>
          <w:sz w:val="16"/>
        </w:rPr>
        <w:t xml:space="preserve">Excelente resistencia al </w:t>
      </w:r>
      <w:proofErr w:type="spellStart"/>
      <w:r w:rsidRPr="00C7508A">
        <w:rPr>
          <w:rFonts w:ascii="Verdana" w:hAnsi="Verdana"/>
          <w:color w:val="000000"/>
          <w:sz w:val="16"/>
        </w:rPr>
        <w:t>intemperismo</w:t>
      </w:r>
      <w:proofErr w:type="spellEnd"/>
      <w:r>
        <w:rPr>
          <w:rFonts w:ascii="Verdana" w:hAnsi="Verdana"/>
          <w:color w:val="000000"/>
          <w:sz w:val="16"/>
        </w:rPr>
        <w:t>.</w:t>
      </w:r>
      <w:r w:rsidRPr="00C7508A">
        <w:rPr>
          <w:rFonts w:ascii="Verdana" w:hAnsi="Verdana"/>
          <w:color w:val="000000"/>
          <w:sz w:val="16"/>
        </w:rPr>
        <w:br/>
      </w:r>
    </w:p>
    <w:p w:rsidR="00C7508A" w:rsidRPr="008A06BC" w:rsidRDefault="00C7508A" w:rsidP="003C352A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color w:val="003399"/>
          <w:sz w:val="18"/>
        </w:rPr>
      </w:pPr>
      <w:r w:rsidRPr="008A06BC">
        <w:rPr>
          <w:rFonts w:ascii="Verdana" w:hAnsi="Verdana"/>
          <w:b/>
          <w:color w:val="003399"/>
          <w:sz w:val="18"/>
        </w:rPr>
        <w:t>Aplicación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Limpiar perfectamente la superficie a tratar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La superficie deberá estar seca y libre de polvo y grasas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Eliminar todos los materiales que presenten falsas adherencias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Aplicar el sellador TEKZKRETO PU parte A mezclado con su parte B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Se puede diluir con </w:t>
      </w:r>
      <w:proofErr w:type="spellStart"/>
      <w:r>
        <w:rPr>
          <w:rFonts w:ascii="Verdana" w:hAnsi="Verdana"/>
          <w:color w:val="000000"/>
          <w:sz w:val="16"/>
        </w:rPr>
        <w:t>xilol</w:t>
      </w:r>
      <w:proofErr w:type="spellEnd"/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Aplicar mínimo dos capas a intervalos de 4 a 6 horas</w:t>
      </w:r>
      <w:r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Utilizar brocha, rodillo o equipo de aspersión</w:t>
      </w:r>
      <w:r>
        <w:rPr>
          <w:rFonts w:ascii="Verdana" w:hAnsi="Verdana"/>
          <w:color w:val="000000"/>
          <w:sz w:val="16"/>
        </w:rPr>
        <w:t>.</w:t>
      </w:r>
    </w:p>
    <w:p w:rsidR="00C7508A" w:rsidRDefault="00C7508A" w:rsidP="00C7508A">
      <w:pPr>
        <w:pStyle w:val="NormalWeb"/>
        <w:spacing w:before="0" w:after="0"/>
        <w:rPr>
          <w:rFonts w:ascii="Verdana" w:hAnsi="Verdana"/>
          <w:b/>
          <w:color w:val="660033"/>
          <w:sz w:val="18"/>
        </w:rPr>
      </w:pPr>
    </w:p>
    <w:p w:rsidR="00C7508A" w:rsidRPr="008A06BC" w:rsidRDefault="00C7508A" w:rsidP="003C352A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color w:val="003399"/>
          <w:sz w:val="18"/>
        </w:rPr>
      </w:pPr>
      <w:r w:rsidRPr="008A06BC">
        <w:rPr>
          <w:rFonts w:ascii="Verdana" w:hAnsi="Verdana"/>
          <w:b/>
          <w:color w:val="003399"/>
          <w:sz w:val="18"/>
        </w:rPr>
        <w:t>Recomendaciones</w:t>
      </w:r>
    </w:p>
    <w:p w:rsidR="00C7508A" w:rsidRPr="00C7508A" w:rsidRDefault="00C7508A" w:rsidP="00C7508A">
      <w:pPr>
        <w:pStyle w:val="NormalWeb"/>
        <w:numPr>
          <w:ilvl w:val="0"/>
          <w:numId w:val="26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En exteriores no aplicar bajo amenaza de lluvia.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No utilizar ácidos para la limpieza de la superficie.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Aplicar sellador TEKZKRETO PU a temperaturas superiores a 5°C.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 xml:space="preserve">Para obtener mejores resultados aplicar un primer diluyendo con </w:t>
      </w:r>
      <w:proofErr w:type="spellStart"/>
      <w:r w:rsidRPr="00C7508A">
        <w:rPr>
          <w:rFonts w:ascii="Verdana" w:hAnsi="Verdana"/>
          <w:color w:val="000000"/>
          <w:sz w:val="16"/>
        </w:rPr>
        <w:t>xilol</w:t>
      </w:r>
      <w:proofErr w:type="spellEnd"/>
      <w:r w:rsidRPr="00C7508A">
        <w:rPr>
          <w:rFonts w:ascii="Verdana" w:hAnsi="Verdana"/>
          <w:color w:val="000000"/>
          <w:sz w:val="16"/>
        </w:rPr>
        <w:t>.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color w:val="000000"/>
          <w:sz w:val="16"/>
        </w:rPr>
      </w:pPr>
      <w:r w:rsidRPr="00C7508A">
        <w:rPr>
          <w:rFonts w:ascii="Verdana" w:hAnsi="Verdana"/>
          <w:color w:val="000000"/>
          <w:sz w:val="16"/>
        </w:rPr>
        <w:t>Es recomendable realizar pruebas previas para asegurar compatibilidad y adhesión.</w:t>
      </w:r>
    </w:p>
    <w:p w:rsidR="00C7508A" w:rsidRDefault="00C7508A" w:rsidP="00C7508A">
      <w:pPr>
        <w:pStyle w:val="NormalWeb"/>
        <w:spacing w:before="0" w:after="0"/>
        <w:rPr>
          <w:rFonts w:ascii="Verdana" w:hAnsi="Verdana"/>
          <w:b/>
          <w:color w:val="660033"/>
          <w:sz w:val="18"/>
        </w:rPr>
      </w:pPr>
    </w:p>
    <w:p w:rsidR="00C7508A" w:rsidRPr="008A06BC" w:rsidRDefault="00C7508A" w:rsidP="003C352A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color w:val="003399"/>
          <w:sz w:val="16"/>
        </w:rPr>
      </w:pPr>
      <w:r w:rsidRPr="008A06BC">
        <w:rPr>
          <w:rFonts w:ascii="Verdana" w:hAnsi="Verdana"/>
          <w:b/>
          <w:color w:val="003399"/>
          <w:sz w:val="18"/>
        </w:rPr>
        <w:t>Limitaciones</w:t>
      </w:r>
    </w:p>
    <w:p w:rsidR="00C7508A" w:rsidRPr="00C7508A" w:rsidRDefault="00C7508A" w:rsidP="00C7508A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sz w:val="16"/>
        </w:rPr>
      </w:pPr>
      <w:r w:rsidRPr="00C7508A">
        <w:rPr>
          <w:rFonts w:ascii="Verdana" w:hAnsi="Verdana"/>
          <w:sz w:val="16"/>
        </w:rPr>
        <w:t>No se recomienda para: superficies sometidas a presión hidrostática o en inmersión continua.</w:t>
      </w:r>
    </w:p>
    <w:p w:rsidR="006C26C7" w:rsidRPr="008A06BC" w:rsidRDefault="006C26C7" w:rsidP="003C352A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color w:val="003399"/>
          <w:sz w:val="18"/>
        </w:rPr>
      </w:pPr>
      <w:r>
        <w:rPr>
          <w:rFonts w:ascii="Verdana" w:hAnsi="Verdana"/>
          <w:b/>
          <w:color w:val="660033"/>
          <w:sz w:val="18"/>
        </w:rPr>
        <w:br w:type="column"/>
      </w:r>
      <w:r w:rsidR="00C7508A" w:rsidRPr="008A06BC">
        <w:rPr>
          <w:rFonts w:ascii="Verdana" w:hAnsi="Verdana"/>
          <w:b/>
          <w:color w:val="003399"/>
          <w:sz w:val="18"/>
        </w:rPr>
        <w:lastRenderedPageBreak/>
        <w:t>Rendimiento</w:t>
      </w:r>
    </w:p>
    <w:p w:rsidR="006C26C7" w:rsidRDefault="00C7508A" w:rsidP="006C26C7">
      <w:pPr>
        <w:pStyle w:val="NormalWeb"/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 xml:space="preserve">El rendimiento del sellador TEKZKRETO PU puede variar dependiendo de la porosidad de la superficie y del </w:t>
      </w:r>
      <w:r w:rsidR="006C26C7">
        <w:rPr>
          <w:rFonts w:ascii="Verdana" w:hAnsi="Verdana"/>
          <w:sz w:val="16"/>
        </w:rPr>
        <w:t>número de capas que se aplique.</w:t>
      </w:r>
    </w:p>
    <w:p w:rsidR="006C26C7" w:rsidRDefault="00C7508A" w:rsidP="006C26C7">
      <w:pPr>
        <w:pStyle w:val="NormalWeb"/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El brillo del material como acabado, aumenta conforme al número de capas que sean aplicadas.</w:t>
      </w:r>
    </w:p>
    <w:p w:rsidR="006C26C7" w:rsidRDefault="00C7508A" w:rsidP="006C26C7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Superficies porosas: 3-</w:t>
      </w:r>
      <w:smartTag w:uri="urn:schemas-microsoft-com:office:smarttags" w:element="metricconverter">
        <w:smartTagPr>
          <w:attr w:name="ProductID" w:val="6 m²"/>
        </w:smartTagPr>
        <w:r w:rsidRPr="006C26C7">
          <w:rPr>
            <w:rFonts w:ascii="Verdana" w:hAnsi="Verdana"/>
            <w:sz w:val="16"/>
          </w:rPr>
          <w:t>6 m²</w:t>
        </w:r>
      </w:smartTag>
      <w:r w:rsidRPr="006C26C7">
        <w:rPr>
          <w:rFonts w:ascii="Verdana" w:hAnsi="Verdana"/>
          <w:sz w:val="16"/>
        </w:rPr>
        <w:t xml:space="preserve"> por litr</w:t>
      </w:r>
      <w:r w:rsidR="006C26C7">
        <w:rPr>
          <w:rFonts w:ascii="Verdana" w:hAnsi="Verdana"/>
          <w:sz w:val="16"/>
        </w:rPr>
        <w:t>o.</w:t>
      </w:r>
    </w:p>
    <w:p w:rsidR="006C26C7" w:rsidRDefault="00C7508A" w:rsidP="006C26C7">
      <w:pPr>
        <w:pStyle w:val="NormalWeb"/>
        <w:numPr>
          <w:ilvl w:val="0"/>
          <w:numId w:val="25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Superficies de baja porosidad: 6-</w:t>
      </w:r>
      <w:smartTag w:uri="urn:schemas-microsoft-com:office:smarttags" w:element="metricconverter">
        <w:smartTagPr>
          <w:attr w:name="ProductID" w:val="8 m²"/>
        </w:smartTagPr>
        <w:r w:rsidRPr="006C26C7">
          <w:rPr>
            <w:rFonts w:ascii="Verdana" w:hAnsi="Verdana"/>
            <w:sz w:val="16"/>
          </w:rPr>
          <w:t>8 m²</w:t>
        </w:r>
      </w:smartTag>
      <w:r w:rsidRPr="006C26C7">
        <w:rPr>
          <w:rFonts w:ascii="Verdana" w:hAnsi="Verdana"/>
          <w:sz w:val="16"/>
        </w:rPr>
        <w:t xml:space="preserve"> por litro</w:t>
      </w:r>
      <w:r w:rsidR="006C26C7">
        <w:rPr>
          <w:rFonts w:ascii="Verdana" w:hAnsi="Verdana"/>
          <w:sz w:val="16"/>
        </w:rPr>
        <w:t>.</w:t>
      </w:r>
    </w:p>
    <w:p w:rsidR="006C26C7" w:rsidRDefault="006C26C7" w:rsidP="006C26C7">
      <w:pPr>
        <w:pStyle w:val="NormalWeb"/>
        <w:spacing w:before="0" w:after="0"/>
        <w:rPr>
          <w:rFonts w:ascii="Verdana" w:hAnsi="Verdana"/>
          <w:sz w:val="16"/>
        </w:rPr>
      </w:pPr>
    </w:p>
    <w:p w:rsidR="00EA762C" w:rsidRPr="008A06BC" w:rsidRDefault="00C7508A" w:rsidP="003C352A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color w:val="003399"/>
          <w:sz w:val="18"/>
        </w:rPr>
      </w:pPr>
      <w:r w:rsidRPr="008A06BC">
        <w:rPr>
          <w:rFonts w:ascii="Verdana" w:hAnsi="Verdana"/>
          <w:b/>
          <w:color w:val="003399"/>
          <w:sz w:val="18"/>
        </w:rPr>
        <w:t>Precauciones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Proteger recipientes de</w:t>
      </w:r>
      <w:r w:rsidR="00EA762C">
        <w:rPr>
          <w:rFonts w:ascii="Verdana" w:hAnsi="Verdana"/>
          <w:sz w:val="16"/>
        </w:rPr>
        <w:t xml:space="preserve"> temperaturas superiores a 30°C.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 xml:space="preserve">Material </w:t>
      </w:r>
      <w:proofErr w:type="spellStart"/>
      <w:r w:rsidRPr="006C26C7">
        <w:rPr>
          <w:rFonts w:ascii="Verdana" w:hAnsi="Verdana"/>
          <w:sz w:val="16"/>
        </w:rPr>
        <w:t>flamable</w:t>
      </w:r>
      <w:proofErr w:type="spellEnd"/>
      <w:r w:rsidRPr="006C26C7">
        <w:rPr>
          <w:rFonts w:ascii="Verdana" w:hAnsi="Verdana"/>
          <w:sz w:val="16"/>
        </w:rPr>
        <w:t>, procurar aplicar en lugar ventilado y lejos de fuente</w:t>
      </w:r>
      <w:r w:rsidR="00EA762C">
        <w:rPr>
          <w:rFonts w:ascii="Verdana" w:hAnsi="Verdana"/>
          <w:sz w:val="16"/>
        </w:rPr>
        <w:t>s de ignición. Evite inhalación.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 xml:space="preserve">Evitar contacto con la piel y ojos, si </w:t>
      </w:r>
      <w:r w:rsidR="00EA762C">
        <w:rPr>
          <w:rFonts w:ascii="Verdana" w:hAnsi="Verdana"/>
          <w:sz w:val="16"/>
        </w:rPr>
        <w:t>ocurre lavar con abundante agua.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En caso de ingestión cons</w:t>
      </w:r>
      <w:r w:rsidR="00EA762C">
        <w:rPr>
          <w:rFonts w:ascii="Verdana" w:hAnsi="Verdana"/>
          <w:sz w:val="16"/>
        </w:rPr>
        <w:t>ulte a su médico.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Tomar med</w:t>
      </w:r>
      <w:r w:rsidR="00EA762C">
        <w:rPr>
          <w:rFonts w:ascii="Verdana" w:hAnsi="Verdana"/>
          <w:sz w:val="16"/>
        </w:rPr>
        <w:t>idas contra descargas estáticas.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Procurar mantener c</w:t>
      </w:r>
      <w:r w:rsidR="00EA762C">
        <w:rPr>
          <w:rFonts w:ascii="Verdana" w:hAnsi="Verdana"/>
          <w:sz w:val="16"/>
        </w:rPr>
        <w:t>errado el envase herméticamente.</w:t>
      </w:r>
    </w:p>
    <w:p w:rsidR="00EA762C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Procure preparar solo el materi</w:t>
      </w:r>
      <w:r w:rsidR="00EA762C">
        <w:rPr>
          <w:rFonts w:ascii="Verdana" w:hAnsi="Verdana"/>
          <w:sz w:val="16"/>
        </w:rPr>
        <w:t>al que va a aplicar por 4 horas.</w:t>
      </w:r>
    </w:p>
    <w:p w:rsidR="00D26BC4" w:rsidRPr="006C26C7" w:rsidRDefault="00C7508A" w:rsidP="00EA762C">
      <w:pPr>
        <w:pStyle w:val="NormalWeb"/>
        <w:numPr>
          <w:ilvl w:val="0"/>
          <w:numId w:val="27"/>
        </w:numPr>
        <w:spacing w:before="0" w:after="0"/>
        <w:rPr>
          <w:rFonts w:ascii="Verdana" w:hAnsi="Verdana"/>
          <w:sz w:val="16"/>
        </w:rPr>
      </w:pPr>
      <w:r w:rsidRPr="006C26C7">
        <w:rPr>
          <w:rFonts w:ascii="Verdana" w:hAnsi="Verdana"/>
          <w:sz w:val="16"/>
        </w:rPr>
        <w:t>No dejar al alcance de los niños</w:t>
      </w:r>
      <w:r w:rsidR="00EA762C">
        <w:rPr>
          <w:rFonts w:ascii="Verdana" w:hAnsi="Verdana"/>
          <w:sz w:val="16"/>
        </w:rPr>
        <w:t>.</w:t>
      </w:r>
    </w:p>
    <w:sectPr w:rsidR="00D26BC4" w:rsidRPr="006C26C7" w:rsidSect="00565BA8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AD" w:rsidRDefault="004569AD" w:rsidP="00AC3111">
      <w:r>
        <w:separator/>
      </w:r>
    </w:p>
  </w:endnote>
  <w:endnote w:type="continuationSeparator" w:id="0">
    <w:p w:rsidR="004569AD" w:rsidRDefault="004569AD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</w:rPr>
      <w:id w:val="2940929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</w:rPr>
          <w:id w:val="29409300"/>
          <w:docPartObj>
            <w:docPartGallery w:val="Page Numbers (Top of Page)"/>
            <w:docPartUnique/>
          </w:docPartObj>
        </w:sdtPr>
        <w:sdtContent>
          <w:p w:rsidR="00AC3111" w:rsidRPr="00AC3111" w:rsidRDefault="00565BA8" w:rsidP="00AC3111">
            <w:pPr>
              <w:pStyle w:val="Piedepgina"/>
              <w:jc w:val="right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-118745</wp:posOffset>
                  </wp:positionV>
                  <wp:extent cx="952500" cy="428625"/>
                  <wp:effectExtent l="19050" t="0" r="0" b="0"/>
                  <wp:wrapNone/>
                  <wp:docPr id="27" name="Imagen 27" descr="logotekzk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tekzk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15254" r="6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111"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r w:rsidR="0019681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="00AC3111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PAGE</w:instrText>
            </w:r>
            <w:r w:rsidR="0019681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450240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19681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  <w:r w:rsidR="00AC3111"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de </w:t>
            </w:r>
            <w:r w:rsidR="0019681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="00AC3111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NUMPAGES</w:instrText>
            </w:r>
            <w:r w:rsidR="0019681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450240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19681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</w:p>
        </w:sdtContent>
      </w:sdt>
    </w:sdtContent>
  </w:sdt>
  <w:p w:rsidR="00AC3111" w:rsidRDefault="00AC31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AD" w:rsidRDefault="004569AD" w:rsidP="00AC3111">
      <w:r>
        <w:separator/>
      </w:r>
    </w:p>
  </w:footnote>
  <w:footnote w:type="continuationSeparator" w:id="0">
    <w:p w:rsidR="004569AD" w:rsidRDefault="004569AD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Look w:val="01E0"/>
    </w:tblPr>
    <w:tblGrid>
      <w:gridCol w:w="2871"/>
      <w:gridCol w:w="6183"/>
    </w:tblGrid>
    <w:tr w:rsidR="00AC3111" w:rsidTr="008A06BC">
      <w:trPr>
        <w:trHeight w:val="280"/>
      </w:trPr>
      <w:tc>
        <w:tcPr>
          <w:tcW w:w="3085" w:type="dxa"/>
          <w:vMerge w:val="restart"/>
          <w:vAlign w:val="center"/>
        </w:tcPr>
        <w:p w:rsidR="00AC3111" w:rsidRDefault="00AC3111" w:rsidP="00D811DA">
          <w:r>
            <w:rPr>
              <w:noProof/>
              <w:lang w:eastAsia="es-MX"/>
            </w:rPr>
            <w:drawing>
              <wp:inline distT="0" distB="0" distL="0" distR="0">
                <wp:extent cx="922452" cy="581025"/>
                <wp:effectExtent l="19050" t="0" r="0" b="0"/>
                <wp:docPr id="1" name="Imagen 1" descr="IAT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AT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452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AC3111" w:rsidRPr="00730BC8" w:rsidRDefault="00AC3111" w:rsidP="00D811DA">
          <w:pPr>
            <w:spacing w:before="120" w:after="120"/>
            <w:rPr>
              <w:rFonts w:ascii="Verdana" w:hAnsi="Verdana"/>
              <w:color w:val="FFFFFF"/>
              <w:sz w:val="20"/>
            </w:rPr>
          </w:pPr>
          <w:r>
            <w:rPr>
              <w:rFonts w:ascii="Verdana" w:hAnsi="Verdana"/>
              <w:b/>
              <w:color w:val="FFFFFF"/>
              <w:sz w:val="20"/>
            </w:rPr>
            <w:t>Hojas Técnicas de Productos</w:t>
          </w:r>
        </w:p>
      </w:tc>
    </w:tr>
    <w:tr w:rsidR="00AC3111" w:rsidTr="008A06BC">
      <w:trPr>
        <w:trHeight w:val="510"/>
      </w:trPr>
      <w:tc>
        <w:tcPr>
          <w:tcW w:w="3085" w:type="dxa"/>
          <w:vMerge/>
        </w:tcPr>
        <w:p w:rsidR="00AC3111" w:rsidRDefault="00AC3111" w:rsidP="00D811DA"/>
      </w:tc>
      <w:tc>
        <w:tcPr>
          <w:tcW w:w="7029" w:type="dxa"/>
          <w:vAlign w:val="center"/>
        </w:tcPr>
        <w:p w:rsidR="00AC3111" w:rsidRPr="008A06BC" w:rsidRDefault="00C7508A" w:rsidP="00097EC0">
          <w:pPr>
            <w:rPr>
              <w:rFonts w:ascii="Verdana" w:hAnsi="Verdana" w:cs="Tahoma"/>
              <w:b/>
              <w:bCs/>
              <w:color w:val="003399"/>
              <w:sz w:val="16"/>
              <w:szCs w:val="16"/>
            </w:rPr>
          </w:pPr>
          <w:r w:rsidRPr="008A06BC">
            <w:rPr>
              <w:rFonts w:ascii="Verdana" w:hAnsi="Verdana"/>
              <w:b/>
              <w:bCs/>
              <w:color w:val="003399"/>
              <w:sz w:val="20"/>
              <w:szCs w:val="28"/>
            </w:rPr>
            <w:t>SELLADOR TEKZKRETO PU</w:t>
          </w:r>
        </w:p>
      </w:tc>
    </w:tr>
  </w:tbl>
  <w:p w:rsidR="00AC3111" w:rsidRDefault="00AC3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9360"/>
        </w:tabs>
        <w:ind w:left="-9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9000"/>
        </w:tabs>
        <w:ind w:left="-90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C9410B"/>
    <w:multiLevelType w:val="hybridMultilevel"/>
    <w:tmpl w:val="E3DAE3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693158"/>
    <w:multiLevelType w:val="hybridMultilevel"/>
    <w:tmpl w:val="8EC0BE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A59EF"/>
    <w:multiLevelType w:val="hybridMultilevel"/>
    <w:tmpl w:val="F77E2B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E5E8E"/>
    <w:multiLevelType w:val="hybridMultilevel"/>
    <w:tmpl w:val="5C581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E7823"/>
    <w:multiLevelType w:val="hybridMultilevel"/>
    <w:tmpl w:val="6D4E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B5393"/>
    <w:multiLevelType w:val="hybridMultilevel"/>
    <w:tmpl w:val="D06A1F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26908"/>
    <w:multiLevelType w:val="hybridMultilevel"/>
    <w:tmpl w:val="CA76BB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719F0"/>
    <w:multiLevelType w:val="hybridMultilevel"/>
    <w:tmpl w:val="9E34A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684B07"/>
    <w:multiLevelType w:val="hybridMultilevel"/>
    <w:tmpl w:val="447A89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82B19"/>
    <w:multiLevelType w:val="hybridMultilevel"/>
    <w:tmpl w:val="0422C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F14FA4"/>
    <w:multiLevelType w:val="hybridMultilevel"/>
    <w:tmpl w:val="324294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62777"/>
    <w:multiLevelType w:val="hybridMultilevel"/>
    <w:tmpl w:val="6E1EE7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7C4B23"/>
    <w:multiLevelType w:val="hybridMultilevel"/>
    <w:tmpl w:val="8BEA3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D1E43"/>
    <w:multiLevelType w:val="hybridMultilevel"/>
    <w:tmpl w:val="4752A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B9491F"/>
    <w:multiLevelType w:val="hybridMultilevel"/>
    <w:tmpl w:val="043CAC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477597"/>
    <w:multiLevelType w:val="hybridMultilevel"/>
    <w:tmpl w:val="D65631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821CEC"/>
    <w:multiLevelType w:val="hybridMultilevel"/>
    <w:tmpl w:val="9CB660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23"/>
  </w:num>
  <w:num w:numId="8">
    <w:abstractNumId w:val="12"/>
  </w:num>
  <w:num w:numId="9">
    <w:abstractNumId w:val="15"/>
  </w:num>
  <w:num w:numId="10">
    <w:abstractNumId w:val="22"/>
  </w:num>
  <w:num w:numId="11">
    <w:abstractNumId w:val="7"/>
  </w:num>
  <w:num w:numId="12">
    <w:abstractNumId w:val="25"/>
  </w:num>
  <w:num w:numId="13">
    <w:abstractNumId w:val="9"/>
  </w:num>
  <w:num w:numId="14">
    <w:abstractNumId w:val="8"/>
  </w:num>
  <w:num w:numId="15">
    <w:abstractNumId w:val="26"/>
  </w:num>
  <w:num w:numId="16">
    <w:abstractNumId w:val="3"/>
  </w:num>
  <w:num w:numId="17">
    <w:abstractNumId w:val="13"/>
  </w:num>
  <w:num w:numId="18">
    <w:abstractNumId w:val="18"/>
  </w:num>
  <w:num w:numId="19">
    <w:abstractNumId w:val="21"/>
  </w:num>
  <w:num w:numId="20">
    <w:abstractNumId w:val="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6"/>
  </w:num>
  <w:num w:numId="26">
    <w:abstractNumId w:val="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4191F"/>
    <w:rsid w:val="00003634"/>
    <w:rsid w:val="00006320"/>
    <w:rsid w:val="00012661"/>
    <w:rsid w:val="000360B4"/>
    <w:rsid w:val="000371AA"/>
    <w:rsid w:val="0004191F"/>
    <w:rsid w:val="000479F1"/>
    <w:rsid w:val="00050D9D"/>
    <w:rsid w:val="000600BA"/>
    <w:rsid w:val="00060997"/>
    <w:rsid w:val="00071A08"/>
    <w:rsid w:val="00086D3C"/>
    <w:rsid w:val="00097EC0"/>
    <w:rsid w:val="000A6251"/>
    <w:rsid w:val="000A7545"/>
    <w:rsid w:val="000B5B9F"/>
    <w:rsid w:val="000B67DF"/>
    <w:rsid w:val="000C2310"/>
    <w:rsid w:val="000D0CE4"/>
    <w:rsid w:val="000D4D58"/>
    <w:rsid w:val="000E1AFE"/>
    <w:rsid w:val="00113CF4"/>
    <w:rsid w:val="00130790"/>
    <w:rsid w:val="0014231B"/>
    <w:rsid w:val="00154D88"/>
    <w:rsid w:val="00163145"/>
    <w:rsid w:val="0016702B"/>
    <w:rsid w:val="001677E0"/>
    <w:rsid w:val="0019681E"/>
    <w:rsid w:val="001E02FE"/>
    <w:rsid w:val="001E370D"/>
    <w:rsid w:val="001F597E"/>
    <w:rsid w:val="00205254"/>
    <w:rsid w:val="002148A1"/>
    <w:rsid w:val="00227FB4"/>
    <w:rsid w:val="00244102"/>
    <w:rsid w:val="00250B0C"/>
    <w:rsid w:val="002571A4"/>
    <w:rsid w:val="002579D3"/>
    <w:rsid w:val="00296BB9"/>
    <w:rsid w:val="002A4AA2"/>
    <w:rsid w:val="002B5DE8"/>
    <w:rsid w:val="002C48DB"/>
    <w:rsid w:val="002E4586"/>
    <w:rsid w:val="003029D9"/>
    <w:rsid w:val="00331964"/>
    <w:rsid w:val="00354F74"/>
    <w:rsid w:val="00367172"/>
    <w:rsid w:val="003675D5"/>
    <w:rsid w:val="003A675C"/>
    <w:rsid w:val="003B1EEB"/>
    <w:rsid w:val="003B3334"/>
    <w:rsid w:val="003C352A"/>
    <w:rsid w:val="00401DFF"/>
    <w:rsid w:val="004055F7"/>
    <w:rsid w:val="004352E1"/>
    <w:rsid w:val="00450240"/>
    <w:rsid w:val="00454DB8"/>
    <w:rsid w:val="004569AD"/>
    <w:rsid w:val="00482300"/>
    <w:rsid w:val="00486EBE"/>
    <w:rsid w:val="00495535"/>
    <w:rsid w:val="0049633B"/>
    <w:rsid w:val="004D1032"/>
    <w:rsid w:val="004D48E2"/>
    <w:rsid w:val="004E5377"/>
    <w:rsid w:val="004E5AB4"/>
    <w:rsid w:val="00500C0F"/>
    <w:rsid w:val="0050222B"/>
    <w:rsid w:val="005041EB"/>
    <w:rsid w:val="00522803"/>
    <w:rsid w:val="00522D53"/>
    <w:rsid w:val="0055322A"/>
    <w:rsid w:val="005576B0"/>
    <w:rsid w:val="00565BA8"/>
    <w:rsid w:val="005868B8"/>
    <w:rsid w:val="005A6A10"/>
    <w:rsid w:val="005A72CD"/>
    <w:rsid w:val="005B51D3"/>
    <w:rsid w:val="005C39F5"/>
    <w:rsid w:val="005C4E0D"/>
    <w:rsid w:val="00604F5F"/>
    <w:rsid w:val="00610663"/>
    <w:rsid w:val="006253D0"/>
    <w:rsid w:val="00644815"/>
    <w:rsid w:val="0065231A"/>
    <w:rsid w:val="006614A9"/>
    <w:rsid w:val="006961E7"/>
    <w:rsid w:val="006B4C7F"/>
    <w:rsid w:val="006C26C7"/>
    <w:rsid w:val="006D7368"/>
    <w:rsid w:val="006E2DC6"/>
    <w:rsid w:val="006F794F"/>
    <w:rsid w:val="00704F0E"/>
    <w:rsid w:val="00715F3A"/>
    <w:rsid w:val="0072434D"/>
    <w:rsid w:val="00730062"/>
    <w:rsid w:val="007516C7"/>
    <w:rsid w:val="00763BC2"/>
    <w:rsid w:val="007833D1"/>
    <w:rsid w:val="00796268"/>
    <w:rsid w:val="007D2818"/>
    <w:rsid w:val="0081428C"/>
    <w:rsid w:val="00831899"/>
    <w:rsid w:val="00837605"/>
    <w:rsid w:val="0089008B"/>
    <w:rsid w:val="00894141"/>
    <w:rsid w:val="008A06BC"/>
    <w:rsid w:val="008A2A29"/>
    <w:rsid w:val="008B2C84"/>
    <w:rsid w:val="008C03B7"/>
    <w:rsid w:val="008D00D0"/>
    <w:rsid w:val="008D78F3"/>
    <w:rsid w:val="008E422F"/>
    <w:rsid w:val="009012E8"/>
    <w:rsid w:val="00903D95"/>
    <w:rsid w:val="00910A68"/>
    <w:rsid w:val="0094477A"/>
    <w:rsid w:val="009521BD"/>
    <w:rsid w:val="00967DA8"/>
    <w:rsid w:val="00967FA1"/>
    <w:rsid w:val="00987B1C"/>
    <w:rsid w:val="009916B9"/>
    <w:rsid w:val="009953B4"/>
    <w:rsid w:val="009A55B5"/>
    <w:rsid w:val="009C664B"/>
    <w:rsid w:val="009D6041"/>
    <w:rsid w:val="009E27B7"/>
    <w:rsid w:val="009E66BB"/>
    <w:rsid w:val="009F6384"/>
    <w:rsid w:val="00A06E9E"/>
    <w:rsid w:val="00A074BD"/>
    <w:rsid w:val="00A21681"/>
    <w:rsid w:val="00A22747"/>
    <w:rsid w:val="00A2653E"/>
    <w:rsid w:val="00A30758"/>
    <w:rsid w:val="00A631ED"/>
    <w:rsid w:val="00A91FC2"/>
    <w:rsid w:val="00AA0678"/>
    <w:rsid w:val="00AB182E"/>
    <w:rsid w:val="00AC3111"/>
    <w:rsid w:val="00AE7290"/>
    <w:rsid w:val="00B04CED"/>
    <w:rsid w:val="00B05479"/>
    <w:rsid w:val="00B32268"/>
    <w:rsid w:val="00B33242"/>
    <w:rsid w:val="00B6324A"/>
    <w:rsid w:val="00B663CB"/>
    <w:rsid w:val="00B67D0D"/>
    <w:rsid w:val="00B700DA"/>
    <w:rsid w:val="00B8321F"/>
    <w:rsid w:val="00B85739"/>
    <w:rsid w:val="00B963E5"/>
    <w:rsid w:val="00BB346F"/>
    <w:rsid w:val="00BD30B8"/>
    <w:rsid w:val="00BD38B7"/>
    <w:rsid w:val="00BD7705"/>
    <w:rsid w:val="00BE1042"/>
    <w:rsid w:val="00BE2762"/>
    <w:rsid w:val="00BE5AE8"/>
    <w:rsid w:val="00BE768D"/>
    <w:rsid w:val="00BF1D54"/>
    <w:rsid w:val="00BF7A10"/>
    <w:rsid w:val="00C10EB1"/>
    <w:rsid w:val="00C47A67"/>
    <w:rsid w:val="00C53B40"/>
    <w:rsid w:val="00C56B5A"/>
    <w:rsid w:val="00C62722"/>
    <w:rsid w:val="00C7508A"/>
    <w:rsid w:val="00C827CD"/>
    <w:rsid w:val="00C95886"/>
    <w:rsid w:val="00C96084"/>
    <w:rsid w:val="00CA6B16"/>
    <w:rsid w:val="00CB102D"/>
    <w:rsid w:val="00CE5743"/>
    <w:rsid w:val="00CF4605"/>
    <w:rsid w:val="00D26BC4"/>
    <w:rsid w:val="00D5517D"/>
    <w:rsid w:val="00D92E20"/>
    <w:rsid w:val="00DA7856"/>
    <w:rsid w:val="00DD3769"/>
    <w:rsid w:val="00DE6DB5"/>
    <w:rsid w:val="00DF0709"/>
    <w:rsid w:val="00DF3B22"/>
    <w:rsid w:val="00E2592B"/>
    <w:rsid w:val="00E40B3E"/>
    <w:rsid w:val="00E448A3"/>
    <w:rsid w:val="00E503D6"/>
    <w:rsid w:val="00E91C91"/>
    <w:rsid w:val="00E93C53"/>
    <w:rsid w:val="00EA0042"/>
    <w:rsid w:val="00EA762C"/>
    <w:rsid w:val="00EB7335"/>
    <w:rsid w:val="00EF591D"/>
    <w:rsid w:val="00F21029"/>
    <w:rsid w:val="00F530B2"/>
    <w:rsid w:val="00F80A43"/>
    <w:rsid w:val="00F82897"/>
    <w:rsid w:val="00F877B1"/>
    <w:rsid w:val="00F92986"/>
    <w:rsid w:val="00F965A1"/>
    <w:rsid w:val="00FA1AF4"/>
    <w:rsid w:val="00FB28D8"/>
    <w:rsid w:val="00FD1E4C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19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111"/>
    <w:rPr>
      <w:rFonts w:ascii="Times New Roman" w:eastAsia="Tahoma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11"/>
    <w:rPr>
      <w:rFonts w:ascii="Times New Roman" w:eastAsia="Tahom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11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8E2"/>
    <w:pPr>
      <w:ind w:left="720"/>
      <w:contextualSpacing/>
    </w:pPr>
  </w:style>
  <w:style w:type="character" w:styleId="Hipervnculo">
    <w:name w:val="Hyperlink"/>
    <w:basedOn w:val="Fuentedeprrafopredeter"/>
    <w:rsid w:val="00565BA8"/>
    <w:rPr>
      <w:color w:val="0000FF"/>
      <w:u w:val="single"/>
    </w:rPr>
  </w:style>
  <w:style w:type="paragraph" w:styleId="NormalWeb">
    <w:name w:val="Normal (Web)"/>
    <w:basedOn w:val="Normal"/>
    <w:rsid w:val="00C7508A"/>
    <w:pPr>
      <w:spacing w:before="280" w:after="280"/>
    </w:pPr>
    <w:rPr>
      <w:rFonts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Jmendoza</cp:lastModifiedBy>
  <cp:revision>9</cp:revision>
  <cp:lastPrinted>2012-03-28T21:15:00Z</cp:lastPrinted>
  <dcterms:created xsi:type="dcterms:W3CDTF">2008-07-31T01:35:00Z</dcterms:created>
  <dcterms:modified xsi:type="dcterms:W3CDTF">2012-03-28T21:15:00Z</dcterms:modified>
</cp:coreProperties>
</file>