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3F" w:rsidRPr="00CC512F" w:rsidRDefault="008A023F" w:rsidP="004D48E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C512F">
        <w:rPr>
          <w:rFonts w:ascii="Verdana" w:hAnsi="Verdana" w:cs="Tahoma"/>
          <w:b/>
          <w:bCs/>
          <w:color w:val="003399"/>
          <w:sz w:val="18"/>
          <w:szCs w:val="16"/>
        </w:rPr>
        <w:t>Descripción</w:t>
      </w:r>
    </w:p>
    <w:p w:rsidR="008A023F" w:rsidRPr="0047114E" w:rsidRDefault="008A023F" w:rsidP="00DF3B22">
      <w:pPr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 xml:space="preserve">E-POCAST ARQ PLUS es un sistema para piso a base de mortero </w:t>
      </w:r>
      <w:proofErr w:type="spellStart"/>
      <w:r w:rsidRPr="0047114E">
        <w:rPr>
          <w:rFonts w:ascii="Verdana" w:hAnsi="Verdana" w:cs="Tahoma"/>
          <w:sz w:val="16"/>
          <w:szCs w:val="16"/>
        </w:rPr>
        <w:t>epóxico</w:t>
      </w:r>
      <w:proofErr w:type="spellEnd"/>
      <w:r w:rsidRPr="0047114E">
        <w:rPr>
          <w:rFonts w:ascii="Verdana" w:hAnsi="Verdana" w:cs="Tahoma"/>
          <w:sz w:val="16"/>
          <w:szCs w:val="16"/>
        </w:rPr>
        <w:t xml:space="preserve"> de tres componentes, formulado con resinas </w:t>
      </w:r>
      <w:proofErr w:type="spellStart"/>
      <w:r w:rsidRPr="0047114E">
        <w:rPr>
          <w:rFonts w:ascii="Verdana" w:hAnsi="Verdana" w:cs="Tahoma"/>
          <w:sz w:val="16"/>
          <w:szCs w:val="16"/>
        </w:rPr>
        <w:t>epóxicas</w:t>
      </w:r>
      <w:proofErr w:type="spellEnd"/>
      <w:r w:rsidRPr="0047114E">
        <w:rPr>
          <w:rFonts w:ascii="Verdana" w:hAnsi="Verdana" w:cs="Tahoma"/>
          <w:sz w:val="16"/>
          <w:szCs w:val="16"/>
        </w:rPr>
        <w:t xml:space="preserve"> 100% sólidos del tipo </w:t>
      </w:r>
      <w:proofErr w:type="spellStart"/>
      <w:r w:rsidRPr="0047114E">
        <w:rPr>
          <w:rFonts w:ascii="Verdana" w:hAnsi="Verdana" w:cs="Tahoma"/>
          <w:sz w:val="16"/>
          <w:szCs w:val="16"/>
        </w:rPr>
        <w:t>novolac</w:t>
      </w:r>
      <w:proofErr w:type="spellEnd"/>
      <w:r w:rsidRPr="0047114E">
        <w:rPr>
          <w:rFonts w:ascii="Verdana" w:hAnsi="Verdana" w:cs="Tahoma"/>
          <w:sz w:val="16"/>
          <w:szCs w:val="16"/>
        </w:rPr>
        <w:t xml:space="preserve"> y agregados de granulometría controlada, con acabado </w:t>
      </w:r>
      <w:proofErr w:type="spellStart"/>
      <w:r w:rsidRPr="0047114E">
        <w:rPr>
          <w:rFonts w:ascii="Verdana" w:hAnsi="Verdana" w:cs="Tahoma"/>
          <w:sz w:val="16"/>
          <w:szCs w:val="16"/>
        </w:rPr>
        <w:t>antiderrapante</w:t>
      </w:r>
      <w:proofErr w:type="spellEnd"/>
      <w:r w:rsidRPr="0047114E">
        <w:rPr>
          <w:rFonts w:ascii="Verdana" w:hAnsi="Verdana" w:cs="Tahoma"/>
          <w:sz w:val="16"/>
          <w:szCs w:val="16"/>
        </w:rPr>
        <w:t xml:space="preserve"> o cáscara de naranja, se aplica en espesores de </w:t>
      </w:r>
      <w:smartTag w:uri="urn:schemas-microsoft-com:office:smarttags" w:element="metricconverter">
        <w:smartTagPr>
          <w:attr w:name="ProductID" w:val="1.0 a"/>
        </w:smartTagPr>
        <w:r w:rsidRPr="0047114E">
          <w:rPr>
            <w:rFonts w:ascii="Verdana" w:hAnsi="Verdana" w:cs="Tahoma"/>
            <w:sz w:val="16"/>
            <w:szCs w:val="16"/>
          </w:rPr>
          <w:t>1.0 a</w:t>
        </w:r>
      </w:smartTag>
      <w:r w:rsidRPr="0047114E">
        <w:rPr>
          <w:rFonts w:ascii="Verdana" w:hAnsi="Verdana" w:cs="Tahom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5.0 mm"/>
        </w:smartTagPr>
        <w:r w:rsidRPr="0047114E">
          <w:rPr>
            <w:rFonts w:ascii="Verdana" w:hAnsi="Verdana" w:cs="Tahoma"/>
            <w:sz w:val="16"/>
            <w:szCs w:val="16"/>
          </w:rPr>
          <w:t xml:space="preserve">5.0 </w:t>
        </w:r>
        <w:proofErr w:type="spellStart"/>
        <w:r w:rsidRPr="0047114E">
          <w:rPr>
            <w:rFonts w:ascii="Verdana" w:hAnsi="Verdana" w:cs="Tahoma"/>
            <w:sz w:val="16"/>
            <w:szCs w:val="16"/>
          </w:rPr>
          <w:t>mm</w:t>
        </w:r>
      </w:smartTag>
      <w:r w:rsidRPr="0047114E">
        <w:rPr>
          <w:rFonts w:ascii="Verdana" w:hAnsi="Verdana" w:cs="Tahoma"/>
          <w:sz w:val="16"/>
          <w:szCs w:val="16"/>
        </w:rPr>
        <w:t>.</w:t>
      </w:r>
      <w:proofErr w:type="spellEnd"/>
      <w:r w:rsidRPr="0047114E">
        <w:rPr>
          <w:rFonts w:ascii="Verdana" w:hAnsi="Verdana" w:cs="Tahoma"/>
          <w:sz w:val="16"/>
          <w:szCs w:val="16"/>
        </w:rPr>
        <w:t xml:space="preserve"> Su uso más común es en áreas de procesos químicos, resiste derrames de la mayoría de los ácidos y álcalis, resiste ácido sulfúrico hasta el 98%. Resiste derrames intermitentes hasta </w:t>
      </w:r>
      <w:smartTag w:uri="urn:schemas-microsoft-com:office:smarttags" w:element="metricconverter">
        <w:smartTagPr>
          <w:attr w:name="ProductID" w:val="120ﾰC"/>
        </w:smartTagPr>
        <w:r w:rsidRPr="0047114E">
          <w:rPr>
            <w:rFonts w:ascii="Verdana" w:hAnsi="Verdana" w:cs="Tahoma"/>
            <w:sz w:val="16"/>
            <w:szCs w:val="16"/>
          </w:rPr>
          <w:t>120°C</w:t>
        </w:r>
      </w:smartTag>
      <w:r w:rsidRPr="0047114E">
        <w:rPr>
          <w:rFonts w:ascii="Verdana" w:hAnsi="Verdana" w:cs="Tahoma"/>
          <w:sz w:val="16"/>
          <w:szCs w:val="16"/>
        </w:rPr>
        <w:t>.</w:t>
      </w:r>
    </w:p>
    <w:p w:rsidR="008A023F" w:rsidRPr="0047114E" w:rsidRDefault="008A023F" w:rsidP="00DF3B22">
      <w:pPr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 xml:space="preserve">El sistema de resinas puede ser utilizado como acabado en otros sistemas E-POCAST para mejorar la resistencia química. </w:t>
      </w:r>
    </w:p>
    <w:p w:rsidR="008A023F" w:rsidRDefault="008A023F" w:rsidP="00DF3B2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8A023F" w:rsidRPr="00CC512F" w:rsidRDefault="008A023F" w:rsidP="004D48E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C512F">
        <w:rPr>
          <w:rFonts w:ascii="Verdana" w:hAnsi="Verdana" w:cs="Tahoma"/>
          <w:b/>
          <w:bCs/>
          <w:color w:val="003399"/>
          <w:sz w:val="18"/>
          <w:szCs w:val="16"/>
        </w:rPr>
        <w:t>Beneficios</w:t>
      </w:r>
    </w:p>
    <w:p w:rsidR="008A023F" w:rsidRPr="004D48E2" w:rsidRDefault="008A023F" w:rsidP="002257A1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D48E2">
        <w:rPr>
          <w:rFonts w:ascii="Verdana" w:hAnsi="Verdana" w:cs="Tahoma"/>
          <w:sz w:val="16"/>
          <w:szCs w:val="16"/>
        </w:rPr>
        <w:t>Mayor resistencia térmica</w:t>
      </w:r>
    </w:p>
    <w:p w:rsidR="008A023F" w:rsidRPr="004D48E2" w:rsidRDefault="008A023F" w:rsidP="002257A1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D48E2">
        <w:rPr>
          <w:rFonts w:ascii="Verdana" w:hAnsi="Verdana" w:cs="Tahoma"/>
          <w:sz w:val="16"/>
          <w:szCs w:val="16"/>
        </w:rPr>
        <w:t>Alta resistencia química</w:t>
      </w:r>
    </w:p>
    <w:p w:rsidR="008A023F" w:rsidRPr="004D48E2" w:rsidRDefault="008A023F" w:rsidP="002257A1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D48E2">
        <w:rPr>
          <w:rFonts w:ascii="Verdana" w:hAnsi="Verdana" w:cs="Tahoma"/>
          <w:sz w:val="16"/>
          <w:szCs w:val="16"/>
        </w:rPr>
        <w:t>Facilidad de aplicación. Se aplica por esparcido de los agregados (</w:t>
      </w:r>
      <w:proofErr w:type="spellStart"/>
      <w:r w:rsidRPr="004D48E2">
        <w:rPr>
          <w:rFonts w:ascii="Verdana" w:hAnsi="Verdana" w:cs="Tahoma"/>
          <w:sz w:val="16"/>
          <w:szCs w:val="16"/>
        </w:rPr>
        <w:t>broadcast</w:t>
      </w:r>
      <w:proofErr w:type="spellEnd"/>
      <w:r w:rsidRPr="004D48E2">
        <w:rPr>
          <w:rFonts w:ascii="Verdana" w:hAnsi="Verdana" w:cs="Tahoma"/>
          <w:sz w:val="16"/>
          <w:szCs w:val="16"/>
        </w:rPr>
        <w:t>), sobre la resina.</w:t>
      </w:r>
    </w:p>
    <w:p w:rsidR="008A023F" w:rsidRPr="004D48E2" w:rsidRDefault="008A023F" w:rsidP="002257A1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D48E2">
        <w:rPr>
          <w:rFonts w:ascii="Verdana" w:hAnsi="Verdana" w:cs="Tahoma"/>
          <w:sz w:val="16"/>
          <w:szCs w:val="16"/>
        </w:rPr>
        <w:t>Alta resistencia mecánica</w:t>
      </w:r>
    </w:p>
    <w:p w:rsidR="008A023F" w:rsidRPr="004D48E2" w:rsidRDefault="008A023F" w:rsidP="002257A1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D48E2">
        <w:rPr>
          <w:rFonts w:ascii="Verdana" w:hAnsi="Verdana" w:cs="Tahoma"/>
          <w:sz w:val="16"/>
          <w:szCs w:val="16"/>
        </w:rPr>
        <w:t>Resistencia a la mayoría de los ácidos y álcalis resiste ácido sulfúrico hasta 98% para más información consultar la tabla General de Resistencias Químicas.</w:t>
      </w:r>
    </w:p>
    <w:p w:rsidR="008A023F" w:rsidRDefault="008A023F" w:rsidP="00DF3B2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8A023F" w:rsidRPr="00CC512F" w:rsidRDefault="008A023F" w:rsidP="004D48E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C512F">
        <w:rPr>
          <w:rFonts w:ascii="Verdana" w:hAnsi="Verdana" w:cs="Tahoma"/>
          <w:b/>
          <w:bCs/>
          <w:color w:val="003399"/>
          <w:sz w:val="18"/>
          <w:szCs w:val="16"/>
        </w:rPr>
        <w:t>Colores</w:t>
      </w:r>
    </w:p>
    <w:p w:rsidR="008A023F" w:rsidRPr="0047114E" w:rsidRDefault="008A023F" w:rsidP="00DF3B22">
      <w:pPr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 xml:space="preserve">E-POCAST ARQ PLUS </w:t>
      </w:r>
      <w:r w:rsidR="002257A1" w:rsidRPr="0047114E">
        <w:rPr>
          <w:rFonts w:ascii="Verdana" w:hAnsi="Verdana" w:cs="Tahoma"/>
          <w:sz w:val="16"/>
          <w:szCs w:val="16"/>
        </w:rPr>
        <w:t>está</w:t>
      </w:r>
      <w:r w:rsidRPr="0047114E">
        <w:rPr>
          <w:rFonts w:ascii="Verdana" w:hAnsi="Verdana" w:cs="Tahoma"/>
          <w:sz w:val="16"/>
          <w:szCs w:val="16"/>
        </w:rPr>
        <w:t xml:space="preserve"> disponible en Gris oscuro y rojo terracota.</w:t>
      </w:r>
    </w:p>
    <w:p w:rsidR="008A023F" w:rsidRDefault="008A023F" w:rsidP="00DF3B2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8A023F" w:rsidRPr="004D48E2" w:rsidRDefault="008A023F" w:rsidP="004D48E2">
      <w:pPr>
        <w:pBdr>
          <w:bottom w:val="single" w:sz="4" w:space="1" w:color="auto"/>
        </w:pBdr>
        <w:rPr>
          <w:rFonts w:ascii="Verdana" w:hAnsi="Verdana" w:cs="Tahoma"/>
          <w:b/>
          <w:bCs/>
          <w:color w:val="660033"/>
          <w:sz w:val="18"/>
          <w:szCs w:val="16"/>
        </w:rPr>
      </w:pPr>
      <w:r w:rsidRPr="004D48E2">
        <w:rPr>
          <w:rFonts w:ascii="Verdana" w:hAnsi="Verdana" w:cs="Tahoma"/>
          <w:b/>
          <w:bCs/>
          <w:color w:val="660033"/>
          <w:sz w:val="18"/>
          <w:szCs w:val="16"/>
        </w:rPr>
        <w:t>Usos típicos</w:t>
      </w:r>
    </w:p>
    <w:p w:rsidR="008A023F" w:rsidRPr="0047114E" w:rsidRDefault="008A023F" w:rsidP="00DF3B22">
      <w:pPr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>E-POCAST ARQ PLUS está diseñado para recubrir pisos de concreto, mejorando su resistencia mecánica y química. Puede ser aplicado tanto pisos de concreto nuevos como dañados (existentes), Generalmente se aplica un top como acabado final que puede ser la misma resina pigmentada o color natural.</w:t>
      </w:r>
    </w:p>
    <w:p w:rsidR="008A023F" w:rsidRPr="0047114E" w:rsidRDefault="008A023F" w:rsidP="00DF3B22">
      <w:pPr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>Recomendado para ser usado en reparación de elementos de concreto horizontales, previa imprima</w:t>
      </w:r>
      <w:r>
        <w:rPr>
          <w:rFonts w:ascii="Verdana" w:hAnsi="Verdana" w:cs="Tahoma"/>
          <w:sz w:val="16"/>
          <w:szCs w:val="16"/>
        </w:rPr>
        <w:t>ción con el primario E-POCAST G</w:t>
      </w:r>
      <w:r w:rsidRPr="0047114E">
        <w:rPr>
          <w:rFonts w:ascii="Verdana" w:hAnsi="Verdana" w:cs="Tahoma"/>
          <w:sz w:val="16"/>
          <w:szCs w:val="16"/>
        </w:rPr>
        <w:t xml:space="preserve"> o</w:t>
      </w:r>
      <w:r>
        <w:rPr>
          <w:rFonts w:ascii="Verdana" w:hAnsi="Verdana" w:cs="Tahoma"/>
          <w:sz w:val="16"/>
          <w:szCs w:val="16"/>
        </w:rPr>
        <w:t xml:space="preserve"> E-POCAST H</w:t>
      </w:r>
      <w:r w:rsidRPr="0047114E">
        <w:rPr>
          <w:rFonts w:ascii="Verdana" w:hAnsi="Verdana" w:cs="Tahoma"/>
          <w:sz w:val="16"/>
          <w:szCs w:val="16"/>
        </w:rPr>
        <w:t>.</w:t>
      </w:r>
    </w:p>
    <w:p w:rsidR="008A023F" w:rsidRPr="0047114E" w:rsidRDefault="008A023F" w:rsidP="00DF3B22">
      <w:pPr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>Los principales mercados de aplicación son:</w:t>
      </w:r>
    </w:p>
    <w:p w:rsidR="008A023F" w:rsidRPr="0047114E" w:rsidRDefault="008A023F" w:rsidP="00DF3B22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>Industria Química</w:t>
      </w:r>
    </w:p>
    <w:p w:rsidR="008A023F" w:rsidRPr="0047114E" w:rsidRDefault="008A023F" w:rsidP="00DF3B22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>Almacenes de productos químicos.</w:t>
      </w:r>
    </w:p>
    <w:p w:rsidR="008A023F" w:rsidRPr="0047114E" w:rsidRDefault="008A023F" w:rsidP="00DF3B22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>Contenedores secundarios</w:t>
      </w:r>
    </w:p>
    <w:p w:rsidR="008A023F" w:rsidRPr="0047114E" w:rsidRDefault="008A023F" w:rsidP="00DF3B22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>Fosas de neutralización</w:t>
      </w:r>
    </w:p>
    <w:p w:rsidR="008A023F" w:rsidRPr="0047114E" w:rsidRDefault="008A023F" w:rsidP="00DF3B22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>Áreas de galvanoplastia</w:t>
      </w:r>
    </w:p>
    <w:p w:rsidR="008A023F" w:rsidRDefault="008A023F" w:rsidP="00DF3B2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8A023F" w:rsidRPr="00CC512F" w:rsidRDefault="008A023F" w:rsidP="004D48E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C512F">
        <w:rPr>
          <w:rFonts w:ascii="Verdana" w:hAnsi="Verdana" w:cs="Tahoma"/>
          <w:b/>
          <w:bCs/>
          <w:color w:val="003399"/>
          <w:sz w:val="18"/>
          <w:szCs w:val="16"/>
        </w:rPr>
        <w:t>Preparación de superficies</w:t>
      </w:r>
    </w:p>
    <w:p w:rsidR="008A023F" w:rsidRPr="0047114E" w:rsidRDefault="008A023F" w:rsidP="00DF3B22">
      <w:pPr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 xml:space="preserve">Antes de cualquier actividad, es necesario llevar a cabo un </w:t>
      </w:r>
      <w:proofErr w:type="spellStart"/>
      <w:r w:rsidRPr="0047114E">
        <w:rPr>
          <w:rFonts w:ascii="Verdana" w:hAnsi="Verdana" w:cs="Tahoma"/>
          <w:sz w:val="16"/>
          <w:szCs w:val="16"/>
        </w:rPr>
        <w:t>diagnostico</w:t>
      </w:r>
      <w:proofErr w:type="spellEnd"/>
      <w:r w:rsidRPr="0047114E">
        <w:rPr>
          <w:rFonts w:ascii="Verdana" w:hAnsi="Verdana" w:cs="Tahoma"/>
          <w:sz w:val="16"/>
          <w:szCs w:val="16"/>
        </w:rPr>
        <w:t xml:space="preserve"> previo de la superficie a fin de determinar el tipo de preparación </w:t>
      </w:r>
      <w:proofErr w:type="spellStart"/>
      <w:r w:rsidRPr="0047114E">
        <w:rPr>
          <w:rFonts w:ascii="Verdana" w:hAnsi="Verdana" w:cs="Tahoma"/>
          <w:sz w:val="16"/>
          <w:szCs w:val="16"/>
        </w:rPr>
        <w:t>mas</w:t>
      </w:r>
      <w:proofErr w:type="spellEnd"/>
      <w:r w:rsidRPr="0047114E">
        <w:rPr>
          <w:rFonts w:ascii="Verdana" w:hAnsi="Verdana" w:cs="Tahoma"/>
          <w:sz w:val="16"/>
          <w:szCs w:val="16"/>
        </w:rPr>
        <w:t xml:space="preserve"> adecuado a las condiciones iniciales del piso. Para información </w:t>
      </w:r>
      <w:proofErr w:type="spellStart"/>
      <w:r w:rsidRPr="0047114E">
        <w:rPr>
          <w:rFonts w:ascii="Verdana" w:hAnsi="Verdana" w:cs="Tahoma"/>
          <w:sz w:val="16"/>
          <w:szCs w:val="16"/>
        </w:rPr>
        <w:t>mas</w:t>
      </w:r>
      <w:proofErr w:type="spellEnd"/>
      <w:r w:rsidRPr="0047114E">
        <w:rPr>
          <w:rFonts w:ascii="Verdana" w:hAnsi="Verdana" w:cs="Tahoma"/>
          <w:sz w:val="16"/>
          <w:szCs w:val="16"/>
        </w:rPr>
        <w:t xml:space="preserve"> detallada sobre preparación de superficie, consultar la guía de preparación de superficie disponible.</w:t>
      </w:r>
    </w:p>
    <w:p w:rsidR="008A023F" w:rsidRPr="0047114E" w:rsidRDefault="008A023F" w:rsidP="00DF3B22">
      <w:pPr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>En general, la superficie a aplicar debe estar libre de falsas adherencias, limpia y seca para asegurar el desempeño adecuado del producto.</w:t>
      </w:r>
    </w:p>
    <w:p w:rsidR="008A023F" w:rsidRDefault="008A023F" w:rsidP="00DF3B22">
      <w:pPr>
        <w:rPr>
          <w:rFonts w:ascii="Verdana" w:hAnsi="Verdana" w:cs="Tahoma"/>
          <w:b/>
          <w:sz w:val="16"/>
          <w:szCs w:val="16"/>
        </w:rPr>
      </w:pPr>
    </w:p>
    <w:p w:rsidR="008A023F" w:rsidRPr="00CC512F" w:rsidRDefault="008A023F" w:rsidP="004D48E2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CC512F">
        <w:rPr>
          <w:rFonts w:ascii="Verdana" w:hAnsi="Verdana" w:cs="Tahoma"/>
          <w:b/>
          <w:color w:val="6EBB1F"/>
          <w:sz w:val="16"/>
          <w:szCs w:val="16"/>
        </w:rPr>
        <w:t>Concreto nuevo</w:t>
      </w:r>
    </w:p>
    <w:p w:rsidR="008A023F" w:rsidRPr="0047114E" w:rsidRDefault="008A023F" w:rsidP="004D48E2">
      <w:pPr>
        <w:ind w:left="708"/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 xml:space="preserve">Debe estar completamente fraguado (28 días mínimo), seco y limpio, es necesario eliminar la costra de cemento formada en la superficie del concreto por el sangrado mediante tratamiento químico con el </w:t>
      </w:r>
      <w:proofErr w:type="spellStart"/>
      <w:r w:rsidRPr="0047114E">
        <w:rPr>
          <w:rFonts w:ascii="Verdana" w:hAnsi="Verdana" w:cs="Tahoma"/>
          <w:sz w:val="16"/>
          <w:szCs w:val="16"/>
        </w:rPr>
        <w:t>acido</w:t>
      </w:r>
      <w:proofErr w:type="spellEnd"/>
      <w:r w:rsidRPr="0047114E">
        <w:rPr>
          <w:rFonts w:ascii="Verdana" w:hAnsi="Verdana" w:cs="Tahoma"/>
          <w:sz w:val="16"/>
          <w:szCs w:val="16"/>
        </w:rPr>
        <w:t xml:space="preserve"> muriático o tratamiento mecánico, pulimento o escarificación, a fin de abrir poro y lograr la mejor adherencia. Debe removerse cualquier residuo de membrana de curado mediante los mismos medios. Eliminar completamente el polvo mediante aspiradora industrial.</w:t>
      </w:r>
    </w:p>
    <w:p w:rsidR="008A023F" w:rsidRDefault="008A023F" w:rsidP="004D48E2">
      <w:pPr>
        <w:ind w:left="708"/>
        <w:rPr>
          <w:rFonts w:ascii="Verdana" w:hAnsi="Verdana" w:cs="Tahoma"/>
          <w:b/>
          <w:sz w:val="16"/>
          <w:szCs w:val="16"/>
        </w:rPr>
      </w:pPr>
    </w:p>
    <w:p w:rsidR="008A023F" w:rsidRPr="00CC512F" w:rsidRDefault="008A023F" w:rsidP="004D48E2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CC512F">
        <w:rPr>
          <w:rFonts w:ascii="Verdana" w:hAnsi="Verdana" w:cs="Tahoma"/>
          <w:b/>
          <w:color w:val="6EBB1F"/>
          <w:sz w:val="16"/>
          <w:szCs w:val="16"/>
        </w:rPr>
        <w:t>Concreto existente</w:t>
      </w:r>
    </w:p>
    <w:p w:rsidR="008A023F" w:rsidRPr="0047114E" w:rsidRDefault="008A023F" w:rsidP="004D48E2">
      <w:pPr>
        <w:ind w:left="708"/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 xml:space="preserve">El concreto debe estar firme, limpio, seco, libre de la costra (sangrado) del cemento, recubrimientos anteriores, grasas, aceites o ceras. Deberán eliminarse todas las falsas adherencias y recubrimientos anteriores con medidores mecánicos; los productos químicos absorbidos en la superficie deberán eliminarse con desengrasantes o </w:t>
      </w:r>
      <w:proofErr w:type="spellStart"/>
      <w:r w:rsidRPr="0047114E">
        <w:rPr>
          <w:rFonts w:ascii="Verdana" w:hAnsi="Verdana" w:cs="Tahoma"/>
          <w:sz w:val="16"/>
          <w:szCs w:val="16"/>
        </w:rPr>
        <w:t>acido</w:t>
      </w:r>
      <w:proofErr w:type="spellEnd"/>
      <w:r w:rsidRPr="0047114E">
        <w:rPr>
          <w:rFonts w:ascii="Verdana" w:hAnsi="Verdana" w:cs="Tahoma"/>
          <w:sz w:val="16"/>
          <w:szCs w:val="16"/>
        </w:rPr>
        <w:t xml:space="preserve"> muriático, según el caso.</w:t>
      </w:r>
    </w:p>
    <w:p w:rsidR="008A023F" w:rsidRDefault="008A023F" w:rsidP="004D48E2">
      <w:pPr>
        <w:ind w:left="708"/>
        <w:rPr>
          <w:rFonts w:ascii="Verdana" w:hAnsi="Verdana" w:cs="Tahoma"/>
          <w:b/>
          <w:sz w:val="16"/>
          <w:szCs w:val="16"/>
        </w:rPr>
      </w:pPr>
    </w:p>
    <w:p w:rsidR="008A023F" w:rsidRPr="00CC512F" w:rsidRDefault="008A023F" w:rsidP="004D48E2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CC512F">
        <w:rPr>
          <w:rFonts w:ascii="Verdana" w:hAnsi="Verdana" w:cs="Tahoma"/>
          <w:b/>
          <w:color w:val="6EBB1F"/>
          <w:sz w:val="16"/>
          <w:szCs w:val="16"/>
        </w:rPr>
        <w:t>Relleno y reparación</w:t>
      </w:r>
    </w:p>
    <w:p w:rsidR="008A023F" w:rsidRPr="0047114E" w:rsidRDefault="008A023F" w:rsidP="004D48E2">
      <w:pPr>
        <w:ind w:left="708"/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>Para reparar o rellenar huecos, baches y/o juntas det</w:t>
      </w:r>
      <w:r>
        <w:rPr>
          <w:rFonts w:ascii="Verdana" w:hAnsi="Verdana" w:cs="Tahoma"/>
          <w:sz w:val="16"/>
          <w:szCs w:val="16"/>
        </w:rPr>
        <w:t>erioradas, la reparación se pu</w:t>
      </w:r>
      <w:r w:rsidRPr="0047114E">
        <w:rPr>
          <w:rFonts w:ascii="Verdana" w:hAnsi="Verdana" w:cs="Tahoma"/>
          <w:sz w:val="16"/>
          <w:szCs w:val="16"/>
        </w:rPr>
        <w:t>e</w:t>
      </w:r>
      <w:r>
        <w:rPr>
          <w:rFonts w:ascii="Verdana" w:hAnsi="Verdana" w:cs="Tahoma"/>
          <w:sz w:val="16"/>
          <w:szCs w:val="16"/>
        </w:rPr>
        <w:t>de</w:t>
      </w:r>
      <w:r w:rsidRPr="0047114E">
        <w:rPr>
          <w:rFonts w:ascii="Verdana" w:hAnsi="Verdana" w:cs="Tahoma"/>
          <w:sz w:val="16"/>
          <w:szCs w:val="16"/>
        </w:rPr>
        <w:t xml:space="preserve"> hacer con el  mortero E-POCAST AC p</w:t>
      </w:r>
      <w:r>
        <w:rPr>
          <w:rFonts w:ascii="Verdana" w:hAnsi="Verdana" w:cs="Tahoma"/>
          <w:sz w:val="16"/>
          <w:szCs w:val="16"/>
        </w:rPr>
        <w:t>revia imprimación con E-POCAST G o E-POCAST H</w:t>
      </w:r>
      <w:r w:rsidRPr="0047114E">
        <w:rPr>
          <w:rFonts w:ascii="Verdana" w:hAnsi="Verdana" w:cs="Tahoma"/>
          <w:sz w:val="16"/>
          <w:szCs w:val="16"/>
        </w:rPr>
        <w:t>.</w:t>
      </w:r>
    </w:p>
    <w:p w:rsidR="008A023F" w:rsidRDefault="008A023F" w:rsidP="00DF3B2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8A023F" w:rsidRPr="00CC512F" w:rsidRDefault="008A023F" w:rsidP="004D48E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C512F">
        <w:rPr>
          <w:rFonts w:ascii="Verdana" w:hAnsi="Verdana" w:cs="Tahoma"/>
          <w:b/>
          <w:bCs/>
          <w:color w:val="003399"/>
          <w:sz w:val="18"/>
          <w:szCs w:val="16"/>
        </w:rPr>
        <w:t>Primer</w:t>
      </w:r>
    </w:p>
    <w:p w:rsidR="008A023F" w:rsidRPr="0047114E" w:rsidRDefault="008A023F" w:rsidP="00DF3B22">
      <w:pPr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>En todos los casos, antes de aplicar los morteros deberá imprimarse la superficie con los prod</w:t>
      </w:r>
      <w:r>
        <w:rPr>
          <w:rFonts w:ascii="Verdana" w:hAnsi="Verdana" w:cs="Tahoma"/>
          <w:sz w:val="16"/>
          <w:szCs w:val="16"/>
        </w:rPr>
        <w:t>uctos E-POCAST G o E-POCAST H</w:t>
      </w:r>
      <w:r w:rsidRPr="0047114E">
        <w:rPr>
          <w:rFonts w:ascii="Verdana" w:hAnsi="Verdana" w:cs="Tahoma"/>
          <w:sz w:val="16"/>
          <w:szCs w:val="16"/>
        </w:rPr>
        <w:t>, los cuales se aplican con la ayuda de un jalador y rodillo rasurado. Para mayor información consultar la hoja de datos técnicos correspondiente.</w:t>
      </w:r>
    </w:p>
    <w:p w:rsidR="008A023F" w:rsidRDefault="008A023F" w:rsidP="00DF3B2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8A023F" w:rsidRPr="00CC512F" w:rsidRDefault="008A023F" w:rsidP="004D48E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C512F">
        <w:rPr>
          <w:rFonts w:ascii="Verdana" w:hAnsi="Verdana" w:cs="Tahoma"/>
          <w:b/>
          <w:bCs/>
          <w:color w:val="003399"/>
          <w:sz w:val="18"/>
          <w:szCs w:val="16"/>
        </w:rPr>
        <w:t>Mezclado y aplicación</w:t>
      </w:r>
    </w:p>
    <w:p w:rsidR="008A023F" w:rsidRPr="0047114E" w:rsidRDefault="008A023F" w:rsidP="00DF3B22">
      <w:pPr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 xml:space="preserve">Mezclar </w:t>
      </w:r>
      <w:smartTag w:uri="urn:schemas-microsoft-com:office:smarttags" w:element="metricconverter">
        <w:smartTagPr>
          <w:attr w:name="ProductID" w:val="2.520 Kg"/>
        </w:smartTagPr>
        <w:r w:rsidRPr="0047114E">
          <w:rPr>
            <w:rFonts w:ascii="Verdana" w:hAnsi="Verdana" w:cs="Tahoma"/>
            <w:sz w:val="16"/>
            <w:szCs w:val="16"/>
          </w:rPr>
          <w:t>2.520 Kg</w:t>
        </w:r>
      </w:smartTag>
      <w:r w:rsidRPr="0047114E">
        <w:rPr>
          <w:rFonts w:ascii="Verdana" w:hAnsi="Verdana" w:cs="Tahoma"/>
          <w:sz w:val="16"/>
          <w:szCs w:val="16"/>
        </w:rPr>
        <w:t xml:space="preserve">. de parte A por </w:t>
      </w:r>
      <w:smartTag w:uri="urn:schemas-microsoft-com:office:smarttags" w:element="metricconverter">
        <w:smartTagPr>
          <w:attr w:name="ProductID" w:val="1.480 Kg"/>
        </w:smartTagPr>
        <w:r w:rsidRPr="0047114E">
          <w:rPr>
            <w:rFonts w:ascii="Verdana" w:hAnsi="Verdana" w:cs="Tahoma"/>
            <w:sz w:val="16"/>
            <w:szCs w:val="16"/>
          </w:rPr>
          <w:t>1.480 Kg</w:t>
        </w:r>
      </w:smartTag>
      <w:r w:rsidRPr="0047114E">
        <w:rPr>
          <w:rFonts w:ascii="Verdana" w:hAnsi="Verdana" w:cs="Tahoma"/>
          <w:sz w:val="16"/>
          <w:szCs w:val="16"/>
        </w:rPr>
        <w:t xml:space="preserve">. de parte B, mezclar por espacio de </w:t>
      </w:r>
      <w:smartTag w:uri="urn:schemas-microsoft-com:office:smarttags" w:element="metricconverter">
        <w:smartTagPr>
          <w:attr w:name="ProductID" w:val="1 a"/>
        </w:smartTagPr>
        <w:r w:rsidRPr="0047114E">
          <w:rPr>
            <w:rFonts w:ascii="Verdana" w:hAnsi="Verdana" w:cs="Tahoma"/>
            <w:sz w:val="16"/>
            <w:szCs w:val="16"/>
          </w:rPr>
          <w:t>1 a</w:t>
        </w:r>
      </w:smartTag>
      <w:r w:rsidRPr="0047114E">
        <w:rPr>
          <w:rFonts w:ascii="Verdana" w:hAnsi="Verdana" w:cs="Tahoma"/>
          <w:sz w:val="16"/>
          <w:szCs w:val="16"/>
        </w:rPr>
        <w:t xml:space="preserve"> 2 minutos y posteriormente añadir el 50% de la parte C (</w:t>
      </w:r>
      <w:smartTag w:uri="urn:schemas-microsoft-com:office:smarttags" w:element="metricconverter">
        <w:smartTagPr>
          <w:attr w:name="ProductID" w:val="5 a"/>
        </w:smartTagPr>
        <w:r w:rsidRPr="0047114E">
          <w:rPr>
            <w:rFonts w:ascii="Verdana" w:hAnsi="Verdana" w:cs="Tahoma"/>
            <w:sz w:val="16"/>
            <w:szCs w:val="16"/>
          </w:rPr>
          <w:t>5 a</w:t>
        </w:r>
      </w:smartTag>
      <w:r w:rsidRPr="0047114E">
        <w:rPr>
          <w:rFonts w:ascii="Verdana" w:hAnsi="Verdana" w:cs="Tahom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6 Kg"/>
        </w:smartTagPr>
        <w:r w:rsidRPr="0047114E">
          <w:rPr>
            <w:rFonts w:ascii="Verdana" w:hAnsi="Verdana" w:cs="Tahoma"/>
            <w:sz w:val="16"/>
            <w:szCs w:val="16"/>
          </w:rPr>
          <w:t>6 Kg</w:t>
        </w:r>
      </w:smartTag>
      <w:r w:rsidRPr="0047114E">
        <w:rPr>
          <w:rFonts w:ascii="Verdana" w:hAnsi="Verdana" w:cs="Tahoma"/>
          <w:sz w:val="16"/>
          <w:szCs w:val="16"/>
        </w:rPr>
        <w:t>.) hasta la homogenización de la mezcla.</w:t>
      </w:r>
    </w:p>
    <w:p w:rsidR="008A023F" w:rsidRPr="0047114E" w:rsidRDefault="008A023F" w:rsidP="00DF3B22">
      <w:pPr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>Asegúrese que la mezcla sea totalmente homogénea, si es necesario, extiéndase el tiempo de la agitación hasta un máximo de 2 minutos.</w:t>
      </w:r>
    </w:p>
    <w:p w:rsidR="008A023F" w:rsidRPr="0047114E" w:rsidRDefault="00A1353B" w:rsidP="00DF3B22">
      <w:pPr>
        <w:rPr>
          <w:rFonts w:ascii="Verdana" w:hAnsi="Verdana" w:cs="Tahoma"/>
          <w:sz w:val="16"/>
          <w:szCs w:val="16"/>
        </w:rPr>
      </w:pPr>
      <w:bookmarkStart w:id="0" w:name="_GoBack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2.95pt;margin-top:6.2pt;width:202.05pt;height:151.5pt;z-index:-1;mso-position-horizontal-relative:text;mso-position-vertical-relative:text" wrapcoords="-80 0 -80 21493 21600 21493 21600 0 -80 0">
            <v:imagedata r:id="rId7" o:title="EPOCAST ARQ PLUS"/>
            <w10:wrap type="tight"/>
          </v:shape>
        </w:pict>
      </w:r>
      <w:bookmarkEnd w:id="0"/>
      <w:r w:rsidR="008A023F" w:rsidRPr="0047114E">
        <w:rPr>
          <w:rFonts w:ascii="Verdana" w:hAnsi="Verdana" w:cs="Tahoma"/>
          <w:sz w:val="16"/>
          <w:szCs w:val="16"/>
        </w:rPr>
        <w:t xml:space="preserve">Esta mezcla se vierte sobre el sustrato </w:t>
      </w:r>
      <w:proofErr w:type="spellStart"/>
      <w:r w:rsidR="008A023F" w:rsidRPr="0047114E">
        <w:rPr>
          <w:rFonts w:ascii="Verdana" w:hAnsi="Verdana" w:cs="Tahoma"/>
          <w:sz w:val="16"/>
          <w:szCs w:val="16"/>
        </w:rPr>
        <w:t>primariado</w:t>
      </w:r>
      <w:proofErr w:type="spellEnd"/>
      <w:r w:rsidR="008A023F" w:rsidRPr="0047114E">
        <w:rPr>
          <w:rFonts w:ascii="Verdana" w:hAnsi="Verdana" w:cs="Tahoma"/>
          <w:sz w:val="16"/>
          <w:szCs w:val="16"/>
        </w:rPr>
        <w:t xml:space="preserve"> y se esparce sobre la superficie controlando la uniformidad del espesor mediante </w:t>
      </w:r>
      <w:proofErr w:type="spellStart"/>
      <w:r w:rsidR="008A023F" w:rsidRPr="0047114E">
        <w:rPr>
          <w:rFonts w:ascii="Verdana" w:hAnsi="Verdana" w:cs="Tahoma"/>
          <w:sz w:val="16"/>
          <w:szCs w:val="16"/>
        </w:rPr>
        <w:t>rasadores</w:t>
      </w:r>
      <w:proofErr w:type="spellEnd"/>
      <w:r w:rsidR="008A023F" w:rsidRPr="0047114E">
        <w:rPr>
          <w:rFonts w:ascii="Verdana" w:hAnsi="Verdana" w:cs="Tahoma"/>
          <w:sz w:val="16"/>
          <w:szCs w:val="16"/>
        </w:rPr>
        <w:t xml:space="preserve"> con escantillón, posteriormente deberá pasarse rodillo de picos para eliminar burbujas y ayudar a la nivelación, inmediatamente deberá ingresarse al área con zapatos de picos y esparcir arena parte C hasta la saturación completa del área, es recomendable darle una pasada ligera con rodillo de felpa fina para ayudar a la impregnación de la arena, al día siguiente deberá barrerse y aspirar </w:t>
      </w:r>
      <w:r w:rsidR="008A023F" w:rsidRPr="0047114E">
        <w:rPr>
          <w:rFonts w:ascii="Verdana" w:hAnsi="Verdana" w:cs="Tahoma"/>
          <w:sz w:val="16"/>
          <w:szCs w:val="16"/>
        </w:rPr>
        <w:lastRenderedPageBreak/>
        <w:t xml:space="preserve">el área para posterior aplicación del acabado que será la mezcla de resinas E-POCAST ARQ PLUS sin cargas </w:t>
      </w:r>
    </w:p>
    <w:p w:rsidR="008A023F" w:rsidRDefault="008A023F" w:rsidP="00DF3B2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8A023F" w:rsidRPr="00CC512F" w:rsidRDefault="008A023F" w:rsidP="00B6324A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C512F">
        <w:rPr>
          <w:rFonts w:ascii="Verdana" w:hAnsi="Verdana" w:cs="Tahoma"/>
          <w:b/>
          <w:bCs/>
          <w:color w:val="003399"/>
          <w:sz w:val="18"/>
          <w:szCs w:val="16"/>
        </w:rPr>
        <w:t>Limitaciones</w:t>
      </w:r>
    </w:p>
    <w:p w:rsidR="008A023F" w:rsidRPr="0047114E" w:rsidRDefault="008A023F" w:rsidP="00DF3B22">
      <w:pPr>
        <w:numPr>
          <w:ilvl w:val="0"/>
          <w:numId w:val="4"/>
        </w:numPr>
        <w:tabs>
          <w:tab w:val="clear" w:pos="360"/>
          <w:tab w:val="left" w:pos="720"/>
        </w:tabs>
        <w:ind w:left="720"/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>Para aplicaciones verticales solicitar formulación vertical</w:t>
      </w:r>
    </w:p>
    <w:p w:rsidR="008A023F" w:rsidRDefault="008A023F" w:rsidP="00DF3B22">
      <w:pPr>
        <w:tabs>
          <w:tab w:val="left" w:pos="720"/>
        </w:tabs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8A023F" w:rsidRPr="00CC512F" w:rsidRDefault="008A023F" w:rsidP="00B6324A">
      <w:pPr>
        <w:pBdr>
          <w:bottom w:val="single" w:sz="4" w:space="1" w:color="auto"/>
        </w:pBdr>
        <w:tabs>
          <w:tab w:val="left" w:pos="720"/>
        </w:tabs>
        <w:rPr>
          <w:rFonts w:ascii="Verdana" w:hAnsi="Verdana" w:cs="Tahoma"/>
          <w:color w:val="003399"/>
          <w:sz w:val="18"/>
          <w:szCs w:val="16"/>
        </w:rPr>
      </w:pPr>
      <w:r w:rsidRPr="00CC512F">
        <w:rPr>
          <w:rFonts w:ascii="Verdana" w:hAnsi="Verdana" w:cs="Tahoma"/>
          <w:b/>
          <w:bCs/>
          <w:color w:val="003399"/>
          <w:sz w:val="18"/>
          <w:szCs w:val="16"/>
        </w:rPr>
        <w:t>Envasado</w:t>
      </w:r>
    </w:p>
    <w:p w:rsidR="008A023F" w:rsidRPr="0047114E" w:rsidRDefault="008A023F" w:rsidP="00DF3B22">
      <w:pPr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 xml:space="preserve">Parte A: cubetas de </w:t>
      </w:r>
      <w:smartTag w:uri="urn:schemas-microsoft-com:office:smarttags" w:element="metricconverter">
        <w:smartTagPr>
          <w:attr w:name="ProductID" w:val="20 Kg"/>
        </w:smartTagPr>
        <w:r w:rsidRPr="0047114E">
          <w:rPr>
            <w:rFonts w:ascii="Verdana" w:hAnsi="Verdana" w:cs="Tahoma"/>
            <w:sz w:val="16"/>
            <w:szCs w:val="16"/>
          </w:rPr>
          <w:t>20 Kg</w:t>
        </w:r>
      </w:smartTag>
      <w:r w:rsidRPr="0047114E">
        <w:rPr>
          <w:rFonts w:ascii="Verdana" w:hAnsi="Verdana" w:cs="Tahoma"/>
          <w:sz w:val="16"/>
          <w:szCs w:val="16"/>
        </w:rPr>
        <w:t>.</w:t>
      </w:r>
    </w:p>
    <w:p w:rsidR="008A023F" w:rsidRPr="0047114E" w:rsidRDefault="008A023F" w:rsidP="00DF3B22">
      <w:pPr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 xml:space="preserve">Parte B: cubetas de </w:t>
      </w:r>
      <w:smartTag w:uri="urn:schemas-microsoft-com:office:smarttags" w:element="metricconverter">
        <w:smartTagPr>
          <w:attr w:name="ProductID" w:val="18 Kg"/>
        </w:smartTagPr>
        <w:r w:rsidRPr="0047114E">
          <w:rPr>
            <w:rFonts w:ascii="Verdana" w:hAnsi="Verdana" w:cs="Tahoma"/>
            <w:sz w:val="16"/>
            <w:szCs w:val="16"/>
          </w:rPr>
          <w:t>18 Kg</w:t>
        </w:r>
      </w:smartTag>
      <w:r w:rsidRPr="0047114E">
        <w:rPr>
          <w:rFonts w:ascii="Verdana" w:hAnsi="Verdana" w:cs="Tahoma"/>
          <w:sz w:val="16"/>
          <w:szCs w:val="16"/>
        </w:rPr>
        <w:t>.</w:t>
      </w:r>
    </w:p>
    <w:p w:rsidR="008A023F" w:rsidRDefault="008A023F" w:rsidP="00DF3B22">
      <w:pPr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 xml:space="preserve">Parte C: sacos de </w:t>
      </w:r>
      <w:smartTag w:uri="urn:schemas-microsoft-com:office:smarttags" w:element="metricconverter">
        <w:smartTagPr>
          <w:attr w:name="ProductID" w:val="25 Kg"/>
        </w:smartTagPr>
        <w:r>
          <w:rPr>
            <w:rFonts w:ascii="Verdana" w:hAnsi="Verdana" w:cs="Tahoma"/>
            <w:sz w:val="16"/>
            <w:szCs w:val="16"/>
          </w:rPr>
          <w:t>25</w:t>
        </w:r>
        <w:r w:rsidRPr="0047114E">
          <w:rPr>
            <w:rFonts w:ascii="Verdana" w:hAnsi="Verdana" w:cs="Tahoma"/>
            <w:sz w:val="16"/>
            <w:szCs w:val="16"/>
          </w:rPr>
          <w:t xml:space="preserve"> Kg</w:t>
        </w:r>
      </w:smartTag>
      <w:r w:rsidRPr="0047114E">
        <w:rPr>
          <w:rFonts w:ascii="Verdana" w:hAnsi="Verdana" w:cs="Tahoma"/>
          <w:sz w:val="16"/>
          <w:szCs w:val="16"/>
        </w:rPr>
        <w:t>.</w:t>
      </w:r>
    </w:p>
    <w:p w:rsidR="008A023F" w:rsidRPr="0047114E" w:rsidRDefault="008A023F" w:rsidP="00DF3B22">
      <w:pPr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Juegos A+B </w:t>
      </w:r>
      <w:proofErr w:type="spellStart"/>
      <w:r>
        <w:rPr>
          <w:rFonts w:ascii="Verdana" w:hAnsi="Verdana" w:cs="Tahoma"/>
          <w:sz w:val="16"/>
          <w:szCs w:val="16"/>
        </w:rPr>
        <w:t>predosificados</w:t>
      </w:r>
      <w:proofErr w:type="spellEnd"/>
      <w:r>
        <w:rPr>
          <w:rFonts w:ascii="Verdana" w:hAnsi="Verdana" w:cs="Tahoma"/>
          <w:sz w:val="16"/>
          <w:szCs w:val="16"/>
        </w:rPr>
        <w:t xml:space="preserve"> de 8.0 ,16.0 y </w:t>
      </w:r>
      <w:smartTag w:uri="urn:schemas-microsoft-com:office:smarttags" w:element="metricconverter">
        <w:smartTagPr>
          <w:attr w:name="ProductID" w:val="32.0 kg"/>
        </w:smartTagPr>
        <w:r>
          <w:rPr>
            <w:rFonts w:ascii="Verdana" w:hAnsi="Verdana" w:cs="Tahoma"/>
            <w:sz w:val="16"/>
            <w:szCs w:val="16"/>
          </w:rPr>
          <w:t>32.0 kg</w:t>
        </w:r>
      </w:smartTag>
      <w:r>
        <w:rPr>
          <w:rFonts w:ascii="Verdana" w:hAnsi="Verdana" w:cs="Tahoma"/>
          <w:sz w:val="16"/>
          <w:szCs w:val="16"/>
        </w:rPr>
        <w:t>.</w:t>
      </w:r>
    </w:p>
    <w:p w:rsidR="008A023F" w:rsidRDefault="008A023F" w:rsidP="00DF3B2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8A023F" w:rsidRPr="00CC512F" w:rsidRDefault="008A023F" w:rsidP="00B6324A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C512F">
        <w:rPr>
          <w:rFonts w:ascii="Verdana" w:hAnsi="Verdana" w:cs="Tahoma"/>
          <w:b/>
          <w:bCs/>
          <w:color w:val="003399"/>
          <w:sz w:val="18"/>
          <w:szCs w:val="16"/>
        </w:rPr>
        <w:t>Almacenamiento y caducidad</w:t>
      </w:r>
    </w:p>
    <w:p w:rsidR="008A023F" w:rsidRPr="0047114E" w:rsidRDefault="008A023F" w:rsidP="00DF3B22">
      <w:pPr>
        <w:rPr>
          <w:rFonts w:ascii="Verdana" w:hAnsi="Verdana" w:cs="Tahoma"/>
          <w:sz w:val="16"/>
          <w:szCs w:val="16"/>
        </w:rPr>
      </w:pPr>
      <w:r w:rsidRPr="0047114E">
        <w:rPr>
          <w:rFonts w:ascii="Verdana" w:hAnsi="Verdana" w:cs="Tahoma"/>
          <w:sz w:val="16"/>
          <w:szCs w:val="16"/>
        </w:rPr>
        <w:t xml:space="preserve">El tiempo de vida del E-POCAST ARQ PLUS almacenado bajo techo, en el envase cerrado, en lugar seco y a una temperatura entre 4 y </w:t>
      </w:r>
      <w:smartTag w:uri="urn:schemas-microsoft-com:office:smarttags" w:element="metricconverter">
        <w:smartTagPr>
          <w:attr w:name="ProductID" w:val="300 Kg"/>
        </w:smartTagPr>
        <w:r w:rsidRPr="0047114E">
          <w:rPr>
            <w:rFonts w:ascii="Verdana" w:hAnsi="Verdana" w:cs="Tahoma"/>
            <w:sz w:val="16"/>
            <w:szCs w:val="16"/>
          </w:rPr>
          <w:t>30 C</w:t>
        </w:r>
      </w:smartTag>
      <w:r w:rsidRPr="0047114E">
        <w:rPr>
          <w:rFonts w:ascii="Verdana" w:hAnsi="Verdana" w:cs="Tahoma"/>
          <w:sz w:val="16"/>
          <w:szCs w:val="16"/>
        </w:rPr>
        <w:t>, es de 12 meses a partir de la fecha de embarque.</w:t>
      </w:r>
    </w:p>
    <w:p w:rsidR="008A023F" w:rsidRDefault="008A023F" w:rsidP="00DF3B2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8A023F" w:rsidRPr="00CC512F" w:rsidRDefault="008A023F" w:rsidP="00B6324A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C512F">
        <w:rPr>
          <w:rFonts w:ascii="Verdana" w:hAnsi="Verdana" w:cs="Tahoma"/>
          <w:b/>
          <w:bCs/>
          <w:color w:val="003399"/>
          <w:sz w:val="18"/>
          <w:szCs w:val="16"/>
        </w:rPr>
        <w:t>Rendimiento</w:t>
      </w:r>
    </w:p>
    <w:p w:rsidR="008A023F" w:rsidRPr="00DF3B22" w:rsidRDefault="008A023F" w:rsidP="00DF3B22">
      <w:pPr>
        <w:rPr>
          <w:rFonts w:ascii="Verdana" w:hAnsi="Verdana" w:cs="Tahoma"/>
          <w:sz w:val="16"/>
          <w:szCs w:val="20"/>
        </w:rPr>
      </w:pPr>
      <w:r w:rsidRPr="0047114E">
        <w:rPr>
          <w:rFonts w:ascii="Verdana" w:hAnsi="Verdana" w:cs="Tahoma"/>
          <w:sz w:val="16"/>
          <w:szCs w:val="16"/>
        </w:rPr>
        <w:t xml:space="preserve">El rendimiento dependerá del espesor a aplicar. Considerando un espesor de carpeta de </w:t>
      </w:r>
      <w:smartTag w:uri="urn:schemas-microsoft-com:office:smarttags" w:element="metricconverter">
        <w:smartTagPr>
          <w:attr w:name="ProductID" w:val="300 Kg"/>
        </w:smartTagPr>
        <w:r w:rsidRPr="0047114E">
          <w:rPr>
            <w:rFonts w:ascii="Verdana" w:hAnsi="Verdana" w:cs="Tahoma"/>
            <w:sz w:val="16"/>
            <w:szCs w:val="16"/>
          </w:rPr>
          <w:t>4 mm</w:t>
        </w:r>
      </w:smartTag>
      <w:r w:rsidRPr="0047114E">
        <w:rPr>
          <w:rFonts w:ascii="Verdana" w:hAnsi="Verdana" w:cs="Tahoma"/>
          <w:sz w:val="16"/>
          <w:szCs w:val="16"/>
        </w:rPr>
        <w:t xml:space="preserve">, el rendimiento estimado es de </w:t>
      </w:r>
      <w:smartTag w:uri="urn:schemas-microsoft-com:office:smarttags" w:element="metricconverter">
        <w:smartTagPr>
          <w:attr w:name="ProductID" w:val="300 Kg"/>
        </w:smartTagPr>
        <w:r w:rsidRPr="0047114E">
          <w:rPr>
            <w:rFonts w:ascii="Verdana" w:hAnsi="Verdana" w:cs="Tahoma"/>
            <w:sz w:val="16"/>
            <w:szCs w:val="16"/>
          </w:rPr>
          <w:t>8 Kg</w:t>
        </w:r>
      </w:smartTag>
      <w:r w:rsidRPr="0047114E">
        <w:rPr>
          <w:rFonts w:ascii="Verdana" w:hAnsi="Verdana" w:cs="Tahoma"/>
          <w:sz w:val="16"/>
          <w:szCs w:val="16"/>
        </w:rPr>
        <w:t>./m</w:t>
      </w:r>
      <w:r w:rsidRPr="0047114E">
        <w:rPr>
          <w:rFonts w:ascii="Verdana" w:hAnsi="Verdana" w:cs="Tahoma"/>
          <w:sz w:val="16"/>
          <w:szCs w:val="16"/>
          <w:vertAlign w:val="superscript"/>
        </w:rPr>
        <w:t>2</w:t>
      </w:r>
      <w:r>
        <w:rPr>
          <w:rFonts w:ascii="Verdana" w:hAnsi="Verdana" w:cs="Tahoma"/>
          <w:sz w:val="16"/>
          <w:szCs w:val="16"/>
        </w:rPr>
        <w:t>.</w:t>
      </w:r>
    </w:p>
    <w:p w:rsidR="008A023F" w:rsidRDefault="008A023F" w:rsidP="0004191F">
      <w:pPr>
        <w:rPr>
          <w:rFonts w:ascii="Verdana" w:hAnsi="Verdana" w:cs="Tahoma"/>
          <w:sz w:val="16"/>
          <w:szCs w:val="20"/>
        </w:rPr>
      </w:pPr>
    </w:p>
    <w:p w:rsidR="008A023F" w:rsidRDefault="008A023F" w:rsidP="0004191F">
      <w:pPr>
        <w:rPr>
          <w:rFonts w:ascii="Verdana" w:hAnsi="Verdana" w:cs="Tahoma"/>
          <w:sz w:val="16"/>
          <w:szCs w:val="20"/>
        </w:rPr>
        <w:sectPr w:rsidR="008A023F" w:rsidSect="0004191F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:rsidR="008A023F" w:rsidRDefault="008A023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8A023F" w:rsidRPr="00CC512F" w:rsidRDefault="008A023F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CC512F">
        <w:rPr>
          <w:rFonts w:ascii="Verdana" w:hAnsi="Verdana" w:cs="Tahoma"/>
          <w:b/>
          <w:color w:val="003399"/>
          <w:sz w:val="18"/>
          <w:szCs w:val="20"/>
        </w:rPr>
        <w:t>Características generales</w:t>
      </w:r>
    </w:p>
    <w:p w:rsidR="008A023F" w:rsidRDefault="008A023F" w:rsidP="004055F7">
      <w:pPr>
        <w:rPr>
          <w:rFonts w:ascii="Verdana" w:hAnsi="Verdana" w:cs="Tahoma"/>
          <w:b/>
          <w:color w:val="660033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3"/>
        <w:gridCol w:w="3632"/>
      </w:tblGrid>
      <w:tr w:rsidR="008A023F" w:rsidTr="00506A39">
        <w:trPr>
          <w:jc w:val="center"/>
        </w:trPr>
        <w:tc>
          <w:tcPr>
            <w:tcW w:w="2383" w:type="dxa"/>
            <w:shd w:val="clear" w:color="auto" w:fill="D9D9D9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Olor</w:t>
            </w:r>
          </w:p>
        </w:tc>
        <w:tc>
          <w:tcPr>
            <w:tcW w:w="3632" w:type="dxa"/>
            <w:shd w:val="clear" w:color="auto" w:fill="D9D9D9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Ninguno durante la aplicación y curado</w:t>
            </w:r>
          </w:p>
        </w:tc>
      </w:tr>
      <w:tr w:rsidR="008A023F" w:rsidTr="00506A39">
        <w:trPr>
          <w:jc w:val="center"/>
        </w:trPr>
        <w:tc>
          <w:tcPr>
            <w:tcW w:w="2383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Colores</w:t>
            </w:r>
          </w:p>
        </w:tc>
        <w:tc>
          <w:tcPr>
            <w:tcW w:w="3632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Gris oscuro o rojo terracota</w:t>
            </w:r>
          </w:p>
        </w:tc>
      </w:tr>
      <w:tr w:rsidR="008A023F" w:rsidTr="00506A39">
        <w:trPr>
          <w:jc w:val="center"/>
        </w:trPr>
        <w:tc>
          <w:tcPr>
            <w:tcW w:w="2383" w:type="dxa"/>
            <w:shd w:val="clear" w:color="auto" w:fill="D9D9D9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Acabado</w:t>
            </w:r>
          </w:p>
        </w:tc>
        <w:tc>
          <w:tcPr>
            <w:tcW w:w="3632" w:type="dxa"/>
            <w:shd w:val="clear" w:color="auto" w:fill="D9D9D9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proofErr w:type="spellStart"/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Antiderrapante</w:t>
            </w:r>
            <w:proofErr w:type="spellEnd"/>
          </w:p>
        </w:tc>
      </w:tr>
      <w:tr w:rsidR="008A023F" w:rsidTr="00506A39">
        <w:trPr>
          <w:jc w:val="center"/>
        </w:trPr>
        <w:tc>
          <w:tcPr>
            <w:tcW w:w="2383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Mantenimiento</w:t>
            </w:r>
          </w:p>
        </w:tc>
        <w:tc>
          <w:tcPr>
            <w:tcW w:w="3632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Prácticamente ninguno</w:t>
            </w:r>
          </w:p>
        </w:tc>
      </w:tr>
      <w:tr w:rsidR="008A023F" w:rsidTr="00506A39">
        <w:trPr>
          <w:jc w:val="center"/>
        </w:trPr>
        <w:tc>
          <w:tcPr>
            <w:tcW w:w="2383" w:type="dxa"/>
            <w:shd w:val="clear" w:color="auto" w:fill="D9D9D9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Puesta en servicio a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506A39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23°C</w:t>
              </w:r>
            </w:smartTag>
          </w:p>
        </w:tc>
        <w:tc>
          <w:tcPr>
            <w:tcW w:w="3632" w:type="dxa"/>
            <w:shd w:val="clear" w:color="auto" w:fill="D9D9D9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a) 8 horas para </w:t>
            </w:r>
            <w:proofErr w:type="spellStart"/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transito</w:t>
            </w:r>
            <w:proofErr w:type="spellEnd"/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 peatonal</w:t>
            </w:r>
          </w:p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b) 24 horas para </w:t>
            </w:r>
            <w:proofErr w:type="spellStart"/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trafico</w:t>
            </w:r>
            <w:proofErr w:type="spellEnd"/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 pesado</w:t>
            </w:r>
          </w:p>
        </w:tc>
      </w:tr>
      <w:tr w:rsidR="008A023F" w:rsidTr="00506A39">
        <w:trPr>
          <w:jc w:val="center"/>
        </w:trPr>
        <w:tc>
          <w:tcPr>
            <w:tcW w:w="2383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Sustrato</w:t>
            </w:r>
          </w:p>
        </w:tc>
        <w:tc>
          <w:tcPr>
            <w:tcW w:w="3632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Concreto</w:t>
            </w:r>
          </w:p>
        </w:tc>
      </w:tr>
      <w:tr w:rsidR="008A023F" w:rsidTr="00506A39">
        <w:trPr>
          <w:jc w:val="center"/>
        </w:trPr>
        <w:tc>
          <w:tcPr>
            <w:tcW w:w="2383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Aprobación FDA</w:t>
            </w:r>
          </w:p>
        </w:tc>
        <w:tc>
          <w:tcPr>
            <w:tcW w:w="3632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Sección 175.300 del código 21</w:t>
            </w:r>
          </w:p>
        </w:tc>
      </w:tr>
    </w:tbl>
    <w:p w:rsidR="008A023F" w:rsidRDefault="008A023F" w:rsidP="00AC3111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8A023F" w:rsidRDefault="008A023F" w:rsidP="00AC3111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8A023F" w:rsidRPr="00CC512F" w:rsidRDefault="008A023F" w:rsidP="00AC3111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CC512F">
        <w:rPr>
          <w:rFonts w:ascii="Verdana" w:hAnsi="Verdana" w:cs="Tahoma"/>
          <w:b/>
          <w:color w:val="003399"/>
          <w:sz w:val="18"/>
          <w:szCs w:val="20"/>
        </w:rPr>
        <w:t>Propiedades físicas</w:t>
      </w:r>
    </w:p>
    <w:p w:rsidR="008A023F" w:rsidRDefault="008A023F" w:rsidP="0004191F">
      <w:pPr>
        <w:rPr>
          <w:rFonts w:ascii="Verdana" w:hAnsi="Verdana" w:cs="Tahoma"/>
          <w:sz w:val="16"/>
          <w:szCs w:val="20"/>
        </w:rPr>
      </w:pPr>
    </w:p>
    <w:tbl>
      <w:tblPr>
        <w:tblW w:w="6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8"/>
        <w:gridCol w:w="1950"/>
        <w:gridCol w:w="1740"/>
      </w:tblGrid>
      <w:tr w:rsidR="008A023F" w:rsidRPr="00CC512F" w:rsidTr="00506A39">
        <w:trPr>
          <w:jc w:val="center"/>
        </w:trPr>
        <w:tc>
          <w:tcPr>
            <w:tcW w:w="2548" w:type="dxa"/>
            <w:shd w:val="clear" w:color="auto" w:fill="6EBB1F"/>
          </w:tcPr>
          <w:p w:rsidR="008A023F" w:rsidRPr="00506A39" w:rsidRDefault="008A023F" w:rsidP="00506A39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506A39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Propiedad física</w:t>
            </w:r>
          </w:p>
        </w:tc>
        <w:tc>
          <w:tcPr>
            <w:tcW w:w="1950" w:type="dxa"/>
            <w:shd w:val="clear" w:color="auto" w:fill="6EBB1F"/>
          </w:tcPr>
          <w:p w:rsidR="008A023F" w:rsidRPr="00506A39" w:rsidRDefault="008A023F" w:rsidP="00506A39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506A39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Método de prueba</w:t>
            </w:r>
          </w:p>
        </w:tc>
        <w:tc>
          <w:tcPr>
            <w:tcW w:w="1740" w:type="dxa"/>
            <w:shd w:val="clear" w:color="auto" w:fill="6EBB1F"/>
          </w:tcPr>
          <w:p w:rsidR="008A023F" w:rsidRPr="00506A39" w:rsidRDefault="008A023F" w:rsidP="00506A39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506A39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Resultado</w:t>
            </w:r>
          </w:p>
        </w:tc>
      </w:tr>
      <w:tr w:rsidR="008A023F" w:rsidRPr="0004191F" w:rsidTr="00506A39">
        <w:trPr>
          <w:jc w:val="center"/>
        </w:trPr>
        <w:tc>
          <w:tcPr>
            <w:tcW w:w="2548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compresión</w:t>
            </w:r>
          </w:p>
        </w:tc>
        <w:tc>
          <w:tcPr>
            <w:tcW w:w="1950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579-68</w:t>
            </w:r>
          </w:p>
        </w:tc>
        <w:tc>
          <w:tcPr>
            <w:tcW w:w="1740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506A39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850 Kg</w:t>
              </w:r>
            </w:smartTag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8A023F" w:rsidRPr="0004191F" w:rsidTr="00506A39">
        <w:trPr>
          <w:jc w:val="center"/>
        </w:trPr>
        <w:tc>
          <w:tcPr>
            <w:tcW w:w="2548" w:type="dxa"/>
            <w:shd w:val="clear" w:color="auto" w:fill="F2F2F2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tensión</w:t>
            </w:r>
          </w:p>
        </w:tc>
        <w:tc>
          <w:tcPr>
            <w:tcW w:w="1950" w:type="dxa"/>
            <w:shd w:val="clear" w:color="auto" w:fill="F2F2F2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307-61</w:t>
            </w:r>
          </w:p>
        </w:tc>
        <w:tc>
          <w:tcPr>
            <w:tcW w:w="1740" w:type="dxa"/>
            <w:shd w:val="clear" w:color="auto" w:fill="F2F2F2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506A39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150 Kg</w:t>
              </w:r>
            </w:smartTag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8A023F" w:rsidRPr="0004191F" w:rsidTr="00506A39">
        <w:trPr>
          <w:jc w:val="center"/>
        </w:trPr>
        <w:tc>
          <w:tcPr>
            <w:tcW w:w="2548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flexión</w:t>
            </w:r>
          </w:p>
        </w:tc>
        <w:tc>
          <w:tcPr>
            <w:tcW w:w="1950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580-68</w:t>
            </w:r>
          </w:p>
        </w:tc>
        <w:tc>
          <w:tcPr>
            <w:tcW w:w="1740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506A39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300 Kg</w:t>
              </w:r>
            </w:smartTag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8A023F" w:rsidRPr="0004191F" w:rsidTr="00506A39">
        <w:trPr>
          <w:jc w:val="center"/>
        </w:trPr>
        <w:tc>
          <w:tcPr>
            <w:tcW w:w="2548" w:type="dxa"/>
            <w:shd w:val="clear" w:color="auto" w:fill="F2F2F2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Absorción de agua</w:t>
            </w:r>
          </w:p>
        </w:tc>
        <w:tc>
          <w:tcPr>
            <w:tcW w:w="1950" w:type="dxa"/>
            <w:shd w:val="clear" w:color="auto" w:fill="F2F2F2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413-66</w:t>
            </w:r>
          </w:p>
        </w:tc>
        <w:tc>
          <w:tcPr>
            <w:tcW w:w="1740" w:type="dxa"/>
            <w:shd w:val="clear" w:color="auto" w:fill="F2F2F2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0.01 %</w:t>
            </w:r>
          </w:p>
        </w:tc>
      </w:tr>
      <w:tr w:rsidR="008A023F" w:rsidRPr="0004191F" w:rsidTr="00506A39">
        <w:trPr>
          <w:jc w:val="center"/>
        </w:trPr>
        <w:tc>
          <w:tcPr>
            <w:tcW w:w="2548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Encogimiento lineal</w:t>
            </w:r>
          </w:p>
        </w:tc>
        <w:tc>
          <w:tcPr>
            <w:tcW w:w="1950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531-68</w:t>
            </w:r>
          </w:p>
        </w:tc>
        <w:tc>
          <w:tcPr>
            <w:tcW w:w="1740" w:type="dxa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0.05 %</w:t>
            </w:r>
          </w:p>
        </w:tc>
      </w:tr>
      <w:tr w:rsidR="008A023F" w:rsidRPr="0004191F" w:rsidTr="00506A39">
        <w:trPr>
          <w:jc w:val="center"/>
        </w:trPr>
        <w:tc>
          <w:tcPr>
            <w:tcW w:w="2548" w:type="dxa"/>
            <w:shd w:val="clear" w:color="auto" w:fill="F2F2F2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Inflamabilidad</w:t>
            </w:r>
          </w:p>
        </w:tc>
        <w:tc>
          <w:tcPr>
            <w:tcW w:w="1950" w:type="dxa"/>
            <w:shd w:val="clear" w:color="auto" w:fill="F2F2F2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F2F2F2"/>
          </w:tcPr>
          <w:p w:rsidR="008A023F" w:rsidRPr="00506A39" w:rsidRDefault="008A023F" w:rsidP="00506A39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06A39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Auto extinguible</w:t>
            </w:r>
          </w:p>
        </w:tc>
      </w:tr>
    </w:tbl>
    <w:p w:rsidR="008A023F" w:rsidRPr="00F7682A" w:rsidRDefault="008A023F" w:rsidP="0004191F">
      <w:pPr>
        <w:rPr>
          <w:rFonts w:ascii="Verdana" w:hAnsi="Verdana" w:cs="Tahoma"/>
          <w:sz w:val="16"/>
          <w:szCs w:val="20"/>
        </w:rPr>
      </w:pPr>
    </w:p>
    <w:p w:rsidR="008A023F" w:rsidRDefault="008A023F">
      <w:pPr>
        <w:sectPr w:rsidR="008A023F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8A023F" w:rsidRDefault="008A023F"/>
    <w:p w:rsidR="008A023F" w:rsidRDefault="008A023F" w:rsidP="0004191F">
      <w:pPr>
        <w:rPr>
          <w:rFonts w:ascii="Verdana" w:hAnsi="Verdana" w:cs="Tahoma"/>
          <w:b/>
          <w:bCs/>
          <w:sz w:val="16"/>
          <w:szCs w:val="20"/>
          <w:u w:val="single"/>
        </w:rPr>
        <w:sectPr w:rsidR="008A023F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8A023F" w:rsidRDefault="008A023F" w:rsidP="004055F7"/>
    <w:sectPr w:rsidR="008A023F" w:rsidSect="004055F7">
      <w:type w:val="continuous"/>
      <w:pgSz w:w="12240" w:h="15840"/>
      <w:pgMar w:top="1417" w:right="1701" w:bottom="1417" w:left="1701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182" w:rsidRDefault="00196182" w:rsidP="00AC3111">
      <w:r>
        <w:separator/>
      </w:r>
    </w:p>
  </w:endnote>
  <w:endnote w:type="continuationSeparator" w:id="0">
    <w:p w:rsidR="00196182" w:rsidRDefault="00196182" w:rsidP="00AC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23F" w:rsidRPr="00AC3111" w:rsidRDefault="008A023F" w:rsidP="00AC3111">
    <w:pPr>
      <w:pStyle w:val="Footer"/>
      <w:jc w:val="right"/>
      <w:rPr>
        <w:rFonts w:ascii="Verdana" w:hAnsi="Verdana"/>
        <w:color w:val="595959"/>
        <w:sz w:val="16"/>
      </w:rPr>
    </w:pPr>
    <w:r w:rsidRPr="00AC3111">
      <w:rPr>
        <w:rFonts w:ascii="Verdana" w:hAnsi="Verdana"/>
        <w:color w:val="595959"/>
        <w:sz w:val="16"/>
      </w:rPr>
      <w:t xml:space="preserve"> </w:t>
    </w:r>
    <w:r w:rsidR="00B63726"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PAGE</w:instrText>
    </w:r>
    <w:r w:rsidR="00B63726" w:rsidRPr="00AC3111">
      <w:rPr>
        <w:rFonts w:ascii="Verdana" w:hAnsi="Verdana"/>
        <w:b/>
        <w:color w:val="595959"/>
        <w:sz w:val="16"/>
      </w:rPr>
      <w:fldChar w:fldCharType="separate"/>
    </w:r>
    <w:r w:rsidR="00A1353B">
      <w:rPr>
        <w:rFonts w:ascii="Verdana" w:hAnsi="Verdana"/>
        <w:b/>
        <w:noProof/>
        <w:color w:val="595959"/>
        <w:sz w:val="16"/>
      </w:rPr>
      <w:t>2</w:t>
    </w:r>
    <w:r w:rsidR="00B63726" w:rsidRPr="00AC3111">
      <w:rPr>
        <w:rFonts w:ascii="Verdana" w:hAnsi="Verdana"/>
        <w:b/>
        <w:color w:val="595959"/>
        <w:sz w:val="16"/>
      </w:rPr>
      <w:fldChar w:fldCharType="end"/>
    </w:r>
    <w:r w:rsidRPr="00AC3111">
      <w:rPr>
        <w:rFonts w:ascii="Verdana" w:hAnsi="Verdana"/>
        <w:color w:val="595959"/>
        <w:sz w:val="16"/>
      </w:rPr>
      <w:t xml:space="preserve"> de </w:t>
    </w:r>
    <w:r w:rsidR="00B63726"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NUMPAGES</w:instrText>
    </w:r>
    <w:r w:rsidR="00B63726" w:rsidRPr="00AC3111">
      <w:rPr>
        <w:rFonts w:ascii="Verdana" w:hAnsi="Verdana"/>
        <w:b/>
        <w:color w:val="595959"/>
        <w:sz w:val="16"/>
      </w:rPr>
      <w:fldChar w:fldCharType="separate"/>
    </w:r>
    <w:r w:rsidR="00A1353B">
      <w:rPr>
        <w:rFonts w:ascii="Verdana" w:hAnsi="Verdana"/>
        <w:b/>
        <w:noProof/>
        <w:color w:val="595959"/>
        <w:sz w:val="16"/>
      </w:rPr>
      <w:t>2</w:t>
    </w:r>
    <w:r w:rsidR="00B63726" w:rsidRPr="00AC3111">
      <w:rPr>
        <w:rFonts w:ascii="Verdana" w:hAnsi="Verdana"/>
        <w:b/>
        <w:color w:val="595959"/>
        <w:sz w:val="16"/>
      </w:rPr>
      <w:fldChar w:fldCharType="end"/>
    </w:r>
  </w:p>
  <w:p w:rsidR="008A023F" w:rsidRDefault="008A02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82" w:rsidRDefault="00196182" w:rsidP="00AC3111">
      <w:r>
        <w:separator/>
      </w:r>
    </w:p>
  </w:footnote>
  <w:footnote w:type="continuationSeparator" w:id="0">
    <w:p w:rsidR="00196182" w:rsidRDefault="00196182" w:rsidP="00AC3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Look w:val="01E0" w:firstRow="1" w:lastRow="1" w:firstColumn="1" w:lastColumn="1" w:noHBand="0" w:noVBand="0"/>
    </w:tblPr>
    <w:tblGrid>
      <w:gridCol w:w="2875"/>
      <w:gridCol w:w="6179"/>
    </w:tblGrid>
    <w:tr w:rsidR="008A023F" w:rsidTr="00506A39">
      <w:trPr>
        <w:trHeight w:val="280"/>
      </w:trPr>
      <w:tc>
        <w:tcPr>
          <w:tcW w:w="3085" w:type="dxa"/>
          <w:vMerge w:val="restart"/>
          <w:vAlign w:val="center"/>
        </w:tcPr>
        <w:p w:rsidR="008A023F" w:rsidRPr="00506A39" w:rsidRDefault="00196182" w:rsidP="00506A39">
          <w:pPr>
            <w:jc w:val="center"/>
          </w:pPr>
          <w:r>
            <w:rPr>
              <w:noProof/>
              <w:lang w:eastAsia="es-MX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 Imagen" o:spid="_x0000_i1025" type="#_x0000_t75" alt="Logopeque.jpg" style="width:74.25pt;height:46.5pt;visibility:visible">
                <v:imagedata r:id="rId1" o:title=""/>
              </v:shape>
            </w:pict>
          </w:r>
        </w:p>
      </w:tc>
      <w:tc>
        <w:tcPr>
          <w:tcW w:w="7029" w:type="dxa"/>
          <w:shd w:val="clear" w:color="auto" w:fill="6EBB1F"/>
        </w:tcPr>
        <w:p w:rsidR="008A023F" w:rsidRPr="00506A39" w:rsidRDefault="008A023F" w:rsidP="00506A39">
          <w:pPr>
            <w:tabs>
              <w:tab w:val="left" w:pos="810"/>
              <w:tab w:val="center" w:pos="2979"/>
            </w:tabs>
            <w:spacing w:before="120" w:after="120"/>
            <w:rPr>
              <w:rFonts w:ascii="Verdana" w:hAnsi="Verdana"/>
              <w:color w:val="FFFFFF"/>
              <w:sz w:val="20"/>
            </w:rPr>
          </w:pPr>
          <w:r w:rsidRPr="00506A39">
            <w:rPr>
              <w:rFonts w:ascii="Verdana" w:hAnsi="Verdana"/>
              <w:b/>
              <w:color w:val="FFFFFF"/>
              <w:sz w:val="20"/>
              <w:szCs w:val="22"/>
            </w:rPr>
            <w:tab/>
          </w:r>
          <w:r w:rsidRPr="00506A39">
            <w:rPr>
              <w:rFonts w:ascii="Verdana" w:hAnsi="Verdana"/>
              <w:b/>
              <w:color w:val="FFFFFF"/>
              <w:sz w:val="20"/>
              <w:szCs w:val="22"/>
            </w:rPr>
            <w:tab/>
            <w:t>Hojas Técnicas de Productos</w:t>
          </w:r>
        </w:p>
      </w:tc>
    </w:tr>
    <w:tr w:rsidR="008A023F" w:rsidTr="00506A39">
      <w:trPr>
        <w:trHeight w:val="510"/>
      </w:trPr>
      <w:tc>
        <w:tcPr>
          <w:tcW w:w="3085" w:type="dxa"/>
          <w:vMerge/>
        </w:tcPr>
        <w:p w:rsidR="008A023F" w:rsidRPr="00506A39" w:rsidRDefault="008A023F" w:rsidP="00506A39">
          <w:pPr>
            <w:jc w:val="center"/>
          </w:pPr>
        </w:p>
      </w:tc>
      <w:tc>
        <w:tcPr>
          <w:tcW w:w="7029" w:type="dxa"/>
          <w:vAlign w:val="center"/>
        </w:tcPr>
        <w:p w:rsidR="008A023F" w:rsidRPr="00506A39" w:rsidRDefault="008A023F" w:rsidP="00506A39">
          <w:pPr>
            <w:jc w:val="center"/>
            <w:rPr>
              <w:rFonts w:ascii="Verdana" w:hAnsi="Verdana"/>
              <w:color w:val="003399"/>
            </w:rPr>
          </w:pPr>
          <w:r w:rsidRPr="00506A39">
            <w:rPr>
              <w:rFonts w:ascii="Verdana" w:hAnsi="Verdana"/>
              <w:b/>
              <w:bCs/>
              <w:color w:val="003399"/>
              <w:sz w:val="20"/>
              <w:szCs w:val="28"/>
            </w:rPr>
            <w:t>E-POCAST ARQ PLUS</w:t>
          </w:r>
        </w:p>
      </w:tc>
    </w:tr>
  </w:tbl>
  <w:p w:rsidR="008A023F" w:rsidRDefault="008A02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3600"/>
        </w:tabs>
        <w:ind w:left="-360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-2880"/>
        </w:tabs>
        <w:ind w:left="-288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51B138C"/>
    <w:multiLevelType w:val="hybridMultilevel"/>
    <w:tmpl w:val="0F127A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F7FAF"/>
    <w:multiLevelType w:val="hybridMultilevel"/>
    <w:tmpl w:val="3E48A9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239EE"/>
    <w:multiLevelType w:val="hybridMultilevel"/>
    <w:tmpl w:val="43301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91F"/>
    <w:rsid w:val="00006320"/>
    <w:rsid w:val="0004191F"/>
    <w:rsid w:val="00050D9D"/>
    <w:rsid w:val="00086D3C"/>
    <w:rsid w:val="000A6251"/>
    <w:rsid w:val="000A7545"/>
    <w:rsid w:val="0014231B"/>
    <w:rsid w:val="00154D88"/>
    <w:rsid w:val="00196182"/>
    <w:rsid w:val="001E370D"/>
    <w:rsid w:val="001F597E"/>
    <w:rsid w:val="002257A1"/>
    <w:rsid w:val="002571A4"/>
    <w:rsid w:val="00296BB9"/>
    <w:rsid w:val="002A4AA2"/>
    <w:rsid w:val="00354F74"/>
    <w:rsid w:val="003B1EEB"/>
    <w:rsid w:val="003B305D"/>
    <w:rsid w:val="004055F7"/>
    <w:rsid w:val="004352E1"/>
    <w:rsid w:val="0047114E"/>
    <w:rsid w:val="004D48E2"/>
    <w:rsid w:val="0050222B"/>
    <w:rsid w:val="005041EB"/>
    <w:rsid w:val="00506A39"/>
    <w:rsid w:val="00522803"/>
    <w:rsid w:val="00522D53"/>
    <w:rsid w:val="005576B0"/>
    <w:rsid w:val="005679E1"/>
    <w:rsid w:val="005868B8"/>
    <w:rsid w:val="005A6A10"/>
    <w:rsid w:val="005A7158"/>
    <w:rsid w:val="005C4E0D"/>
    <w:rsid w:val="006472ED"/>
    <w:rsid w:val="00662CD5"/>
    <w:rsid w:val="006D7368"/>
    <w:rsid w:val="006E2DC6"/>
    <w:rsid w:val="0072434D"/>
    <w:rsid w:val="00763BC2"/>
    <w:rsid w:val="007833D1"/>
    <w:rsid w:val="00796268"/>
    <w:rsid w:val="007D2818"/>
    <w:rsid w:val="0089008B"/>
    <w:rsid w:val="008A023F"/>
    <w:rsid w:val="008A2A29"/>
    <w:rsid w:val="008D00D0"/>
    <w:rsid w:val="008D78F3"/>
    <w:rsid w:val="00910A68"/>
    <w:rsid w:val="0094477A"/>
    <w:rsid w:val="00951796"/>
    <w:rsid w:val="009521BD"/>
    <w:rsid w:val="00967DA8"/>
    <w:rsid w:val="00967FA1"/>
    <w:rsid w:val="009916B9"/>
    <w:rsid w:val="009C664B"/>
    <w:rsid w:val="009F0555"/>
    <w:rsid w:val="00A06E9E"/>
    <w:rsid w:val="00A1353B"/>
    <w:rsid w:val="00A631ED"/>
    <w:rsid w:val="00AC3111"/>
    <w:rsid w:val="00B05479"/>
    <w:rsid w:val="00B33242"/>
    <w:rsid w:val="00B6324A"/>
    <w:rsid w:val="00B63726"/>
    <w:rsid w:val="00B663CB"/>
    <w:rsid w:val="00B67D0D"/>
    <w:rsid w:val="00B963E5"/>
    <w:rsid w:val="00BA4481"/>
    <w:rsid w:val="00BE1042"/>
    <w:rsid w:val="00BE768D"/>
    <w:rsid w:val="00C77F6D"/>
    <w:rsid w:val="00CB102D"/>
    <w:rsid w:val="00CC512F"/>
    <w:rsid w:val="00D92E20"/>
    <w:rsid w:val="00DA7856"/>
    <w:rsid w:val="00DC0CB0"/>
    <w:rsid w:val="00DF3B22"/>
    <w:rsid w:val="00E3201A"/>
    <w:rsid w:val="00E40B3E"/>
    <w:rsid w:val="00E448A3"/>
    <w:rsid w:val="00E93C53"/>
    <w:rsid w:val="00EF591D"/>
    <w:rsid w:val="00F7682A"/>
    <w:rsid w:val="00F80A43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970C337C-D690-4EBA-A368-95D78FE8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91F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19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uiPriority w:val="99"/>
    <w:rsid w:val="0004191F"/>
    <w:pPr>
      <w:suppressLineNumbers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AC3111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semiHidden/>
    <w:locked/>
    <w:rsid w:val="00AC31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C3111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locked/>
    <w:rsid w:val="00AC311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C3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311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D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874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iestrada</dc:creator>
  <cp:keywords/>
  <dc:description/>
  <cp:lastModifiedBy>username</cp:lastModifiedBy>
  <cp:revision>13</cp:revision>
  <cp:lastPrinted>2008-12-17T22:43:00Z</cp:lastPrinted>
  <dcterms:created xsi:type="dcterms:W3CDTF">2008-07-30T00:18:00Z</dcterms:created>
  <dcterms:modified xsi:type="dcterms:W3CDTF">2015-10-02T17:50:00Z</dcterms:modified>
</cp:coreProperties>
</file>