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E-POCAST TERRA es un terrazo epóxico 100% sólidos para pisos comerciales, residenciales o en industria farmacéutica. Este producto está constituido por tres componentes y presenta excelentes propiedades de resistencia a la abrasión y al paso de montacargas.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7B58A6" w:rsidRPr="00367172" w:rsidRDefault="007B58A6" w:rsidP="0036717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67172">
        <w:rPr>
          <w:rFonts w:ascii="Verdana" w:hAnsi="Verdana" w:cs="Tahoma"/>
          <w:sz w:val="16"/>
          <w:szCs w:val="16"/>
        </w:rPr>
        <w:t>Producto libre de solventes</w:t>
      </w:r>
    </w:p>
    <w:p w:rsidR="007B58A6" w:rsidRPr="00367172" w:rsidRDefault="007B58A6" w:rsidP="0036717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67172">
        <w:rPr>
          <w:rFonts w:ascii="Verdana" w:hAnsi="Verdana" w:cs="Tahoma"/>
          <w:sz w:val="16"/>
          <w:szCs w:val="16"/>
        </w:rPr>
        <w:t>Curado rápido</w:t>
      </w:r>
    </w:p>
    <w:p w:rsidR="007B58A6" w:rsidRPr="00367172" w:rsidRDefault="007B58A6" w:rsidP="0036717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67172">
        <w:rPr>
          <w:rFonts w:ascii="Verdana" w:hAnsi="Verdana" w:cs="Tahoma"/>
          <w:sz w:val="16"/>
          <w:szCs w:val="16"/>
        </w:rPr>
        <w:t>Facilidad de aplicación. Puede ser aplicado manualmente mediante llana o por medio de allanadora mecánica.</w:t>
      </w:r>
    </w:p>
    <w:p w:rsidR="007B58A6" w:rsidRPr="00367172" w:rsidRDefault="007B58A6" w:rsidP="0036717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67172">
        <w:rPr>
          <w:rFonts w:ascii="Verdana" w:hAnsi="Verdana" w:cs="Tahoma"/>
          <w:sz w:val="16"/>
          <w:szCs w:val="16"/>
        </w:rPr>
        <w:t xml:space="preserve">Alta resistencia al impacto al ser aplicado a un espesor de </w:t>
      </w:r>
      <w:smartTag w:uri="urn:schemas-microsoft-com:office:smarttags" w:element="metricconverter">
        <w:smartTagPr>
          <w:attr w:name="ProductID" w:val="6 a"/>
        </w:smartTagPr>
        <w:r w:rsidRPr="00367172">
          <w:rPr>
            <w:rFonts w:ascii="Verdana" w:hAnsi="Verdana" w:cs="Tahoma"/>
            <w:sz w:val="16"/>
            <w:szCs w:val="16"/>
          </w:rPr>
          <w:t>6 a</w:t>
        </w:r>
      </w:smartTag>
      <w:r w:rsidRPr="00367172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8 mm"/>
        </w:smartTagPr>
        <w:r w:rsidRPr="00367172">
          <w:rPr>
            <w:rFonts w:ascii="Verdana" w:hAnsi="Verdana" w:cs="Tahoma"/>
            <w:sz w:val="16"/>
            <w:szCs w:val="16"/>
          </w:rPr>
          <w:t>8 mm</w:t>
        </w:r>
      </w:smartTag>
      <w:r w:rsidRPr="00367172">
        <w:rPr>
          <w:rFonts w:ascii="Verdana" w:hAnsi="Verdana" w:cs="Tahoma"/>
          <w:sz w:val="16"/>
          <w:szCs w:val="16"/>
        </w:rPr>
        <w:t>.</w:t>
      </w:r>
    </w:p>
    <w:p w:rsidR="007B58A6" w:rsidRPr="00367172" w:rsidRDefault="007B58A6" w:rsidP="0036717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67172">
        <w:rPr>
          <w:rFonts w:ascii="Verdana" w:hAnsi="Verdana" w:cs="Tahoma"/>
          <w:sz w:val="16"/>
          <w:szCs w:val="16"/>
        </w:rPr>
        <w:t xml:space="preserve">Resistencia a la mayoría de los productos químicos acorde al sistema. Para mayor  detalle de resistencia química consultar </w:t>
      </w:r>
      <w:smartTag w:uri="urn:schemas-microsoft-com:office:smarttags" w:element="PersonName">
        <w:smartTagPr>
          <w:attr w:name="ProductID" w:val="la Tabla General"/>
        </w:smartTagPr>
        <w:r w:rsidRPr="00367172">
          <w:rPr>
            <w:rFonts w:ascii="Verdana" w:hAnsi="Verdana" w:cs="Tahoma"/>
            <w:sz w:val="16"/>
            <w:szCs w:val="16"/>
          </w:rPr>
          <w:t>la Tabla General</w:t>
        </w:r>
      </w:smartTag>
      <w:r w:rsidRPr="00367172">
        <w:rPr>
          <w:rFonts w:ascii="Verdana" w:hAnsi="Verdana" w:cs="Tahoma"/>
          <w:sz w:val="16"/>
          <w:szCs w:val="16"/>
        </w:rPr>
        <w:t xml:space="preserve"> de Resistencias Químicas.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E-POCAST TERRA esta disponible en una gran variedad de colores y agregados que pueden ser granos de mármol, vidrio, etc. Haciendo de este acabado un acabado altamente atractivo.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Usos típicos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E-POCAST TERRA esta diseñado para recubrir pisos de concreto, mejorando su resistencia mecánica y química. Puede ser aplicado tanto pisos de concreto nuevo o dañados (existentes), Por su acabado estético es utilizado ampliamente en centros comerciales, lobies,</w:t>
      </w:r>
      <w:r>
        <w:rPr>
          <w:rFonts w:ascii="Verdana" w:hAnsi="Verdana" w:cs="Tahoma"/>
          <w:sz w:val="16"/>
          <w:szCs w:val="16"/>
        </w:rPr>
        <w:t xml:space="preserve"> museos, etc.</w:t>
      </w:r>
      <w:r w:rsidRPr="00E52BF4">
        <w:rPr>
          <w:rFonts w:ascii="Verdana" w:hAnsi="Verdana" w:cs="Tahoma"/>
          <w:sz w:val="16"/>
          <w:szCs w:val="16"/>
        </w:rPr>
        <w:t xml:space="preserve"> por ser un acabado aséptico también es utilizado ampliamente en la industria farmacéutica. Generalmente se aplica un top recubrente de acabado que puede ser  POLY-CAST </w:t>
      </w:r>
      <w:r>
        <w:rPr>
          <w:rFonts w:ascii="Verdana" w:hAnsi="Verdana" w:cs="Tahoma"/>
          <w:sz w:val="16"/>
          <w:szCs w:val="16"/>
        </w:rPr>
        <w:t>COAT</w:t>
      </w:r>
      <w:r w:rsidRPr="00E52BF4">
        <w:rPr>
          <w:rFonts w:ascii="Verdana" w:hAnsi="Verdana" w:cs="Tahoma"/>
          <w:sz w:val="16"/>
          <w:szCs w:val="16"/>
        </w:rPr>
        <w:t>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Los principales mercados de aplicación son:</w:t>
      </w:r>
    </w:p>
    <w:p w:rsidR="007B58A6" w:rsidRPr="00E52BF4" w:rsidRDefault="007B58A6" w:rsidP="000D4D5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Centros comerciales</w:t>
      </w:r>
    </w:p>
    <w:p w:rsidR="007B58A6" w:rsidRPr="00E52BF4" w:rsidRDefault="007B58A6" w:rsidP="000D4D5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Industria Farmacéutica</w:t>
      </w:r>
    </w:p>
    <w:p w:rsidR="007B58A6" w:rsidRDefault="007B58A6" w:rsidP="000D4D5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Uso residencial</w:t>
      </w:r>
    </w:p>
    <w:p w:rsidR="007B58A6" w:rsidRPr="00E52BF4" w:rsidRDefault="007B58A6" w:rsidP="000D4D58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Museos</w:t>
      </w:r>
    </w:p>
    <w:p w:rsidR="007B58A6" w:rsidRPr="00E52BF4" w:rsidRDefault="007B58A6" w:rsidP="000D4D58">
      <w:pPr>
        <w:tabs>
          <w:tab w:val="left" w:pos="720"/>
        </w:tabs>
        <w:rPr>
          <w:rFonts w:ascii="Verdana" w:hAnsi="Verdana" w:cs="Tahoma"/>
          <w:sz w:val="16"/>
          <w:szCs w:val="16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Antes de cualquier actividad, es necesario llevar a cabo un diagnostico previo de la superficie a fin de determinar el tipo de preparación mas adecuado a las condiciones iniciales del piso. Para información mas detallada sobre preparación de superficie, consultar la guía de preparación de superficie disponible.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7B58A6" w:rsidRDefault="007B58A6" w:rsidP="000D4D58">
      <w:pPr>
        <w:rPr>
          <w:rFonts w:ascii="Verdana" w:hAnsi="Verdana" w:cs="Tahoma"/>
          <w:b/>
          <w:sz w:val="16"/>
          <w:szCs w:val="16"/>
        </w:rPr>
      </w:pPr>
    </w:p>
    <w:p w:rsidR="007B58A6" w:rsidRPr="000134E2" w:rsidRDefault="007B58A6" w:rsidP="0036717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0134E2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7B58A6" w:rsidRPr="00E52BF4" w:rsidRDefault="007B58A6" w:rsidP="00367172">
      <w:pPr>
        <w:ind w:left="708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Debe estar completamente fraguado (28 días mínimo), seco y limpio, es necesario eliminar la costra de cemento formada en la superficie del concreto por el sangrado mediante tratamiento químico con el acido muriático o tratamiento mecánico, pulimento o escarificación, a fin de abrir poro y lograr la mejor adherencia. Debe removerse cualquier residuo de membrana de curado mediante los mismos medios. Eliminar completamente el polvo mediante aspiradora industrial.</w:t>
      </w:r>
    </w:p>
    <w:p w:rsidR="007B58A6" w:rsidRDefault="007B58A6" w:rsidP="000D4D58">
      <w:pPr>
        <w:rPr>
          <w:rFonts w:ascii="Verdana" w:hAnsi="Verdana" w:cs="Tahoma"/>
          <w:b/>
          <w:sz w:val="16"/>
          <w:szCs w:val="16"/>
        </w:rPr>
      </w:pPr>
    </w:p>
    <w:p w:rsidR="007B58A6" w:rsidRPr="000134E2" w:rsidRDefault="007B58A6" w:rsidP="0036717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0134E2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7B58A6" w:rsidRPr="00E52BF4" w:rsidRDefault="007B58A6" w:rsidP="00367172">
      <w:pPr>
        <w:ind w:left="708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El concreto debe estar firme, limpio, seco, libre de la costra (sangrado) del cemento, recubrimientos anteriores, grasas, aceites o ceras. Deberán eliminarse todas las falsas adherencias y recubri</w:t>
      </w:r>
      <w:r>
        <w:rPr>
          <w:rFonts w:ascii="Verdana" w:hAnsi="Verdana" w:cs="Tahoma"/>
          <w:sz w:val="16"/>
          <w:szCs w:val="16"/>
        </w:rPr>
        <w:t>mientos anteriores con medios</w:t>
      </w:r>
      <w:r w:rsidRPr="00E52BF4">
        <w:rPr>
          <w:rFonts w:ascii="Verdana" w:hAnsi="Verdana" w:cs="Tahoma"/>
          <w:sz w:val="16"/>
          <w:szCs w:val="16"/>
        </w:rPr>
        <w:t xml:space="preserve"> mecánicos; los productos químicos absorbidos en la superficie deberán eliminarse con desengrasantes o acido muriático, según el caso.</w:t>
      </w:r>
    </w:p>
    <w:p w:rsidR="007B58A6" w:rsidRDefault="007B58A6" w:rsidP="00367172">
      <w:pPr>
        <w:ind w:left="708"/>
        <w:rPr>
          <w:rFonts w:ascii="Verdana" w:hAnsi="Verdana" w:cs="Tahoma"/>
          <w:b/>
          <w:sz w:val="16"/>
          <w:szCs w:val="16"/>
        </w:rPr>
      </w:pPr>
    </w:p>
    <w:p w:rsidR="007B58A6" w:rsidRPr="000134E2" w:rsidRDefault="007B58A6" w:rsidP="0036717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0134E2">
        <w:rPr>
          <w:rFonts w:ascii="Verdana" w:hAnsi="Verdana" w:cs="Tahoma"/>
          <w:b/>
          <w:color w:val="6EBB1F"/>
          <w:sz w:val="16"/>
          <w:szCs w:val="16"/>
        </w:rPr>
        <w:t>Relleno y reparación</w:t>
      </w:r>
    </w:p>
    <w:p w:rsidR="007B58A6" w:rsidRPr="00E52BF4" w:rsidRDefault="007B58A6" w:rsidP="00367172">
      <w:pPr>
        <w:ind w:left="708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Para reparar o rellenar huecos, baches y/o juntas deterioradas, la reparación se puede hacer con el  mortero E-POCAST AC previa imprimación con E-POCAST 35 o E-POCAST 558.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Primer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En todos los casos, antes de aplicar los morteros deberá imprimarse la superficie con los productos E-POCAST 35 o E-POCAST 558, los cuales se aplican con la ayuda de un jalador y rodillo rasurado. Para mayor información consultar la hoja de datos técnicos correspondiente.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Mezclado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3 Kg"/>
        </w:smartTagPr>
        <w:r w:rsidRPr="00E52BF4">
          <w:rPr>
            <w:rFonts w:ascii="Verdana" w:hAnsi="Verdana" w:cs="Tahoma"/>
            <w:sz w:val="16"/>
            <w:szCs w:val="16"/>
          </w:rPr>
          <w:t>3 Kg</w:t>
        </w:r>
      </w:smartTag>
      <w:r w:rsidRPr="00E52BF4">
        <w:rPr>
          <w:rFonts w:ascii="Verdana" w:hAnsi="Verdana" w:cs="Tahoma"/>
          <w:sz w:val="16"/>
          <w:szCs w:val="16"/>
        </w:rPr>
        <w:t xml:space="preserve">. de parte A por </w:t>
      </w:r>
      <w:smartTag w:uri="urn:schemas-microsoft-com:office:smarttags" w:element="metricconverter">
        <w:smartTagPr>
          <w:attr w:name="ProductID" w:val="1 Kg"/>
        </w:smartTagPr>
        <w:r w:rsidRPr="00E52BF4">
          <w:rPr>
            <w:rFonts w:ascii="Verdana" w:hAnsi="Verdana" w:cs="Tahoma"/>
            <w:sz w:val="16"/>
            <w:szCs w:val="16"/>
          </w:rPr>
          <w:t>1 Kg</w:t>
        </w:r>
      </w:smartTag>
      <w:r w:rsidRPr="00E52BF4">
        <w:rPr>
          <w:rFonts w:ascii="Verdana" w:hAnsi="Verdana" w:cs="Tahoma"/>
          <w:sz w:val="16"/>
          <w:szCs w:val="16"/>
        </w:rPr>
        <w:t xml:space="preserve">. de parte B, mezclar por espacio de </w:t>
      </w:r>
      <w:smartTag w:uri="urn:schemas-microsoft-com:office:smarttags" w:element="metricconverter">
        <w:smartTagPr>
          <w:attr w:name="ProductID" w:val="1 a"/>
        </w:smartTagPr>
        <w:r w:rsidRPr="00E52BF4">
          <w:rPr>
            <w:rFonts w:ascii="Verdana" w:hAnsi="Verdana" w:cs="Tahoma"/>
            <w:sz w:val="16"/>
            <w:szCs w:val="16"/>
          </w:rPr>
          <w:t>1 a</w:t>
        </w:r>
      </w:smartTag>
      <w:r w:rsidRPr="00E52BF4">
        <w:rPr>
          <w:rFonts w:ascii="Verdana" w:hAnsi="Verdana" w:cs="Tahoma"/>
          <w:sz w:val="16"/>
          <w:szCs w:val="16"/>
        </w:rPr>
        <w:t xml:space="preserve"> 2 minutos y posteriormente añadir la parte C (</w:t>
      </w:r>
      <w:smartTag w:uri="urn:schemas-microsoft-com:office:smarttags" w:element="metricconverter">
        <w:smartTagPr>
          <w:attr w:name="ProductID" w:val="26 a"/>
        </w:smartTagPr>
        <w:r w:rsidRPr="00E52BF4">
          <w:rPr>
            <w:rFonts w:ascii="Verdana" w:hAnsi="Verdana" w:cs="Tahoma"/>
            <w:sz w:val="16"/>
            <w:szCs w:val="16"/>
          </w:rPr>
          <w:t>26 a</w:t>
        </w:r>
      </w:smartTag>
      <w:r w:rsidRPr="00E52BF4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30 Kg"/>
        </w:smartTagPr>
        <w:r w:rsidRPr="00E52BF4">
          <w:rPr>
            <w:rFonts w:ascii="Verdana" w:hAnsi="Verdana" w:cs="Tahoma"/>
            <w:sz w:val="16"/>
            <w:szCs w:val="16"/>
          </w:rPr>
          <w:t>30 Kg</w:t>
        </w:r>
      </w:smartTag>
      <w:r w:rsidRPr="00E52BF4">
        <w:rPr>
          <w:rFonts w:ascii="Verdana" w:hAnsi="Verdana" w:cs="Tahoma"/>
          <w:sz w:val="16"/>
          <w:szCs w:val="16"/>
        </w:rPr>
        <w:t>.) hasta la homogenización de la mezcla.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Método de aplicación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E-POCAST TERRA se aplica típicamente con llana manual o mecánica utilizando “screed box” o rasadores para control de espesor, en todos los casos deberá aplicarse previamente el primario  E-POCAST 35 o E-POCAST 558.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Una vez aplicado deberá procederse con el procedimiento de desbastado, corrección de imperfecciones y brillado y sellado final.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La aplicación solo deberá ser realizada por personal altamente experimentado.</w:t>
      </w:r>
    </w:p>
    <w:p w:rsidR="007B58A6" w:rsidRPr="00E52BF4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7B58A6" w:rsidRPr="00E52BF4" w:rsidRDefault="007B58A6" w:rsidP="000D4D58">
      <w:pPr>
        <w:numPr>
          <w:ilvl w:val="0"/>
          <w:numId w:val="4"/>
        </w:numPr>
        <w:tabs>
          <w:tab w:val="clear" w:pos="-1800"/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No se recomienda su uso en exteriores sin la aplicación de POLY-CAST coat</w:t>
      </w:r>
    </w:p>
    <w:p w:rsidR="007B58A6" w:rsidRPr="00E52BF4" w:rsidRDefault="007B58A6" w:rsidP="000D4D58">
      <w:pPr>
        <w:numPr>
          <w:ilvl w:val="0"/>
          <w:numId w:val="4"/>
        </w:numPr>
        <w:tabs>
          <w:tab w:val="clear" w:pos="-1800"/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No se recomienda dejarlo expuesto cuando existan salpicaduras o derrames de productos químicos muy corrosivos, usar el recubrimiento de acabado adecuado para el caso</w:t>
      </w:r>
    </w:p>
    <w:p w:rsidR="007B58A6" w:rsidRPr="00E52BF4" w:rsidRDefault="007B58A6" w:rsidP="000D4D58">
      <w:pPr>
        <w:numPr>
          <w:ilvl w:val="0"/>
          <w:numId w:val="4"/>
        </w:numPr>
        <w:tabs>
          <w:tab w:val="clear" w:pos="-1800"/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 xml:space="preserve">Parte A: cubetas de </w:t>
      </w:r>
      <w:smartTag w:uri="urn:schemas-microsoft-com:office:smarttags" w:element="metricconverter">
        <w:smartTagPr>
          <w:attr w:name="ProductID" w:val="20 Kg"/>
        </w:smartTagPr>
        <w:r w:rsidRPr="00E52BF4">
          <w:rPr>
            <w:rFonts w:ascii="Verdana" w:hAnsi="Verdana" w:cs="Tahoma"/>
            <w:sz w:val="16"/>
            <w:szCs w:val="16"/>
          </w:rPr>
          <w:t>20 Kg</w:t>
        </w:r>
      </w:smartTag>
      <w:r w:rsidRPr="00E52BF4">
        <w:rPr>
          <w:rFonts w:ascii="Verdana" w:hAnsi="Verdana" w:cs="Tahoma"/>
          <w:sz w:val="16"/>
          <w:szCs w:val="16"/>
        </w:rPr>
        <w:t>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 xml:space="preserve">Parte B: cubetas de </w:t>
      </w:r>
      <w:smartTag w:uri="urn:schemas-microsoft-com:office:smarttags" w:element="metricconverter">
        <w:smartTagPr>
          <w:attr w:name="ProductID" w:val="18 Kg"/>
        </w:smartTagPr>
        <w:r w:rsidRPr="00E52BF4">
          <w:rPr>
            <w:rFonts w:ascii="Verdana" w:hAnsi="Verdana" w:cs="Tahoma"/>
            <w:sz w:val="16"/>
            <w:szCs w:val="16"/>
          </w:rPr>
          <w:t>18 Kg</w:t>
        </w:r>
      </w:smartTag>
      <w:r w:rsidRPr="00E52BF4">
        <w:rPr>
          <w:rFonts w:ascii="Verdana" w:hAnsi="Verdana" w:cs="Tahoma"/>
          <w:sz w:val="16"/>
          <w:szCs w:val="16"/>
        </w:rPr>
        <w:t>.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 xml:space="preserve">Parte C: sacos de </w:t>
      </w:r>
      <w:smartTag w:uri="urn:schemas-microsoft-com:office:smarttags" w:element="metricconverter">
        <w:smartTagPr>
          <w:attr w:name="ProductID" w:val="50 Kg"/>
        </w:smartTagPr>
        <w:r w:rsidRPr="00E52BF4">
          <w:rPr>
            <w:rFonts w:ascii="Verdana" w:hAnsi="Verdana" w:cs="Tahoma"/>
            <w:sz w:val="16"/>
            <w:szCs w:val="16"/>
          </w:rPr>
          <w:t>50 Kg</w:t>
        </w:r>
      </w:smartTag>
      <w:r w:rsidRPr="00E52BF4">
        <w:rPr>
          <w:rFonts w:ascii="Verdana" w:hAnsi="Verdana" w:cs="Tahoma"/>
          <w:sz w:val="16"/>
          <w:szCs w:val="16"/>
        </w:rPr>
        <w:t>.</w:t>
      </w:r>
    </w:p>
    <w:p w:rsidR="007B58A6" w:rsidRDefault="007B58A6" w:rsidP="00367172">
      <w:pPr>
        <w:rPr>
          <w:rFonts w:ascii="Verdana" w:hAnsi="Verdana" w:cs="Tahoma"/>
          <w:b/>
          <w:bCs/>
          <w:color w:val="660033"/>
          <w:sz w:val="18"/>
          <w:szCs w:val="16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Almacenamiento y caducidad</w:t>
      </w:r>
    </w:p>
    <w:p w:rsidR="007B58A6" w:rsidRPr="00E52BF4" w:rsidRDefault="007B58A6" w:rsidP="000D4D58">
      <w:pPr>
        <w:rPr>
          <w:rFonts w:ascii="Verdana" w:hAnsi="Verdana" w:cs="Tahoma"/>
          <w:sz w:val="16"/>
          <w:szCs w:val="16"/>
        </w:rPr>
      </w:pPr>
      <w:r w:rsidRPr="00E52BF4">
        <w:rPr>
          <w:rFonts w:ascii="Verdana" w:hAnsi="Verdana" w:cs="Tahoma"/>
          <w:sz w:val="16"/>
          <w:szCs w:val="16"/>
        </w:rPr>
        <w:t xml:space="preserve">El tiempo de vida del E-POCAST TERRA almacenado bajo techo, en el envase cerrado, en lugar seco y a una temperatura entre 4 y </w:t>
      </w:r>
      <w:smartTag w:uri="urn:schemas-microsoft-com:office:smarttags" w:element="metricconverter">
        <w:smartTagPr>
          <w:attr w:name="ProductID" w:val="30 C"/>
        </w:smartTagPr>
        <w:r w:rsidRPr="00E52BF4">
          <w:rPr>
            <w:rFonts w:ascii="Verdana" w:hAnsi="Verdana" w:cs="Tahoma"/>
            <w:sz w:val="16"/>
            <w:szCs w:val="16"/>
          </w:rPr>
          <w:t>30 C</w:t>
        </w:r>
      </w:smartTag>
      <w:r w:rsidRPr="00E52BF4">
        <w:rPr>
          <w:rFonts w:ascii="Verdana" w:hAnsi="Verdana" w:cs="Tahoma"/>
          <w:sz w:val="16"/>
          <w:szCs w:val="16"/>
        </w:rPr>
        <w:t>, es de 12 meses a partir de la fecha de embarque.</w:t>
      </w:r>
    </w:p>
    <w:p w:rsidR="007B58A6" w:rsidRDefault="007B58A6" w:rsidP="000D4D58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7B58A6" w:rsidRPr="000134E2" w:rsidRDefault="007B58A6" w:rsidP="0036717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0134E2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7B58A6" w:rsidRPr="000D4D58" w:rsidRDefault="007B58A6" w:rsidP="000D4D58">
      <w:pPr>
        <w:rPr>
          <w:rFonts w:ascii="Verdana" w:hAnsi="Verdana"/>
          <w:sz w:val="16"/>
          <w:szCs w:val="16"/>
        </w:rPr>
        <w:sectPr w:rsidR="007B58A6" w:rsidRPr="000D4D58" w:rsidSect="000C2310">
          <w:headerReference w:type="default" r:id="rId7"/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E52BF4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carpeta de </w:t>
      </w:r>
      <w:smartTag w:uri="urn:schemas-microsoft-com:office:smarttags" w:element="metricconverter">
        <w:smartTagPr>
          <w:attr w:name="ProductID" w:val="8 mm"/>
        </w:smartTagPr>
        <w:r w:rsidRPr="00E52BF4">
          <w:rPr>
            <w:rFonts w:ascii="Verdana" w:hAnsi="Verdana" w:cs="Tahoma"/>
            <w:sz w:val="16"/>
            <w:szCs w:val="16"/>
          </w:rPr>
          <w:t>8 mm</w:t>
        </w:r>
      </w:smartTag>
      <w:r w:rsidRPr="00E52BF4">
        <w:rPr>
          <w:rFonts w:ascii="Verdana" w:hAnsi="Verdana" w:cs="Tahoma"/>
          <w:sz w:val="16"/>
          <w:szCs w:val="16"/>
        </w:rPr>
        <w:t xml:space="preserve">, el rendimiento estimado es de </w:t>
      </w:r>
      <w:smartTag w:uri="urn:schemas-microsoft-com:office:smarttags" w:element="metricconverter">
        <w:smartTagPr>
          <w:attr w:name="ProductID" w:val="16 Kg"/>
        </w:smartTagPr>
        <w:r w:rsidRPr="00E52BF4">
          <w:rPr>
            <w:rFonts w:ascii="Verdana" w:hAnsi="Verdana" w:cs="Tahoma"/>
            <w:sz w:val="16"/>
            <w:szCs w:val="16"/>
          </w:rPr>
          <w:t>16 Kg</w:t>
        </w:r>
      </w:smartTag>
      <w:r w:rsidRPr="00E52BF4">
        <w:rPr>
          <w:rFonts w:ascii="Verdana" w:hAnsi="Verdana" w:cs="Tahoma"/>
          <w:sz w:val="16"/>
          <w:szCs w:val="16"/>
        </w:rPr>
        <w:t>./m</w:t>
      </w:r>
      <w:r w:rsidRPr="00E52BF4">
        <w:rPr>
          <w:rFonts w:ascii="Verdana" w:hAnsi="Verdana" w:cs="Tahoma"/>
          <w:sz w:val="16"/>
          <w:szCs w:val="16"/>
          <w:vertAlign w:val="superscript"/>
        </w:rPr>
        <w:t>2</w:t>
      </w:r>
      <w:r>
        <w:rPr>
          <w:rFonts w:ascii="Verdana" w:hAnsi="Verdana" w:cs="Tahoma"/>
          <w:sz w:val="16"/>
          <w:szCs w:val="16"/>
        </w:rPr>
        <w:t>.</w:t>
      </w:r>
    </w:p>
    <w:p w:rsidR="007B58A6" w:rsidRDefault="007B58A6" w:rsidP="00D5517D">
      <w:pPr>
        <w:rPr>
          <w:rFonts w:ascii="Verdana" w:hAnsi="Verdana" w:cs="Tahoma"/>
          <w:b/>
          <w:color w:val="660033"/>
          <w:sz w:val="18"/>
          <w:szCs w:val="20"/>
        </w:rPr>
        <w:sectPr w:rsidR="007B58A6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7B58A6" w:rsidRDefault="007B58A6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7B58A6" w:rsidRPr="000134E2" w:rsidRDefault="007B58A6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0134E2">
        <w:rPr>
          <w:rFonts w:ascii="Verdana" w:hAnsi="Verdana" w:cs="Tahoma"/>
          <w:b/>
          <w:color w:val="003399"/>
          <w:sz w:val="18"/>
          <w:szCs w:val="20"/>
        </w:rPr>
        <w:t>Características generales</w:t>
      </w:r>
    </w:p>
    <w:p w:rsidR="007B58A6" w:rsidRDefault="007B58A6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7B58A6" w:rsidRDefault="007B58A6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7B58A6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3"/>
        <w:gridCol w:w="4149"/>
      </w:tblGrid>
      <w:tr w:rsidR="007B58A6" w:rsidTr="00615308">
        <w:trPr>
          <w:jc w:val="center"/>
        </w:trPr>
        <w:tc>
          <w:tcPr>
            <w:tcW w:w="2383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Olor</w:t>
            </w:r>
          </w:p>
        </w:tc>
        <w:tc>
          <w:tcPr>
            <w:tcW w:w="4149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149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Cualquier color, infinidad de agregados como mármol, onix, vidrio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149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Liso, brillante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149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23°C"/>
              </w:smartTagPr>
              <w:r w:rsidRPr="00615308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149" w:type="dxa"/>
            <w:shd w:val="clear" w:color="auto" w:fill="D9D9D9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8 horas para transito peatonal</w:t>
            </w:r>
          </w:p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24 horas para trafico pesado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149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7B58A6" w:rsidTr="00615308">
        <w:trPr>
          <w:jc w:val="center"/>
        </w:trPr>
        <w:tc>
          <w:tcPr>
            <w:tcW w:w="2383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149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7B58A6" w:rsidRDefault="007B58A6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7B58A6" w:rsidRDefault="007B58A6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7B58A6" w:rsidRPr="000134E2" w:rsidRDefault="007B58A6" w:rsidP="00D26BC4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0134E2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7B58A6" w:rsidRDefault="007B58A6" w:rsidP="00454DB8"/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8"/>
        <w:gridCol w:w="1950"/>
        <w:gridCol w:w="1740"/>
      </w:tblGrid>
      <w:tr w:rsidR="007B58A6" w:rsidRPr="000134E2" w:rsidTr="00615308">
        <w:trPr>
          <w:jc w:val="center"/>
        </w:trPr>
        <w:tc>
          <w:tcPr>
            <w:tcW w:w="2548" w:type="dxa"/>
            <w:shd w:val="clear" w:color="auto" w:fill="6EBB1F"/>
          </w:tcPr>
          <w:p w:rsidR="007B58A6" w:rsidRPr="00615308" w:rsidRDefault="007B58A6" w:rsidP="00615308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615308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7B58A6" w:rsidRPr="00615308" w:rsidRDefault="007B58A6" w:rsidP="00615308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615308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7B58A6" w:rsidRPr="00615308" w:rsidRDefault="007B58A6" w:rsidP="00615308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615308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615308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850 Kg</w:t>
              </w:r>
            </w:smartTag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615308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150 Kg</w:t>
              </w:r>
            </w:smartTag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615308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7B58A6" w:rsidRPr="0004191F" w:rsidTr="00615308">
        <w:trPr>
          <w:jc w:val="center"/>
        </w:trPr>
        <w:tc>
          <w:tcPr>
            <w:tcW w:w="2548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/>
          </w:tcPr>
          <w:p w:rsidR="007B58A6" w:rsidRPr="00615308" w:rsidRDefault="007B58A6" w:rsidP="00615308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615308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7B58A6" w:rsidRDefault="007B58A6" w:rsidP="00454DB8"/>
    <w:sectPr w:rsidR="007B58A6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A6" w:rsidRDefault="007B58A6" w:rsidP="00AC3111">
      <w:r>
        <w:separator/>
      </w:r>
    </w:p>
  </w:endnote>
  <w:endnote w:type="continuationSeparator" w:id="0">
    <w:p w:rsidR="007B58A6" w:rsidRDefault="007B58A6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A6" w:rsidRPr="00AC3111" w:rsidRDefault="007B58A6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Pr="00AC3111">
      <w:rPr>
        <w:rFonts w:ascii="Verdana" w:hAnsi="Verdana"/>
        <w:b/>
        <w:color w:val="595959"/>
        <w:sz w:val="16"/>
      </w:rPr>
      <w:fldChar w:fldCharType="separate"/>
    </w:r>
    <w:r>
      <w:rPr>
        <w:rFonts w:ascii="Verdana" w:hAnsi="Verdana"/>
        <w:b/>
        <w:noProof/>
        <w:color w:val="595959"/>
        <w:sz w:val="16"/>
      </w:rPr>
      <w:t>2</w:t>
    </w:r>
    <w:r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Pr="00AC3111">
      <w:rPr>
        <w:rFonts w:ascii="Verdana" w:hAnsi="Verdana"/>
        <w:b/>
        <w:color w:val="595959"/>
        <w:sz w:val="16"/>
      </w:rPr>
      <w:fldChar w:fldCharType="separate"/>
    </w:r>
    <w:r>
      <w:rPr>
        <w:rFonts w:ascii="Verdana" w:hAnsi="Verdana"/>
        <w:b/>
        <w:noProof/>
        <w:color w:val="595959"/>
        <w:sz w:val="16"/>
      </w:rPr>
      <w:t>2</w:t>
    </w:r>
    <w:r w:rsidRPr="00AC3111">
      <w:rPr>
        <w:rFonts w:ascii="Verdana" w:hAnsi="Verdana"/>
        <w:b/>
        <w:color w:val="595959"/>
        <w:sz w:val="16"/>
      </w:rPr>
      <w:fldChar w:fldCharType="end"/>
    </w:r>
  </w:p>
  <w:p w:rsidR="007B58A6" w:rsidRDefault="007B58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A6" w:rsidRDefault="007B58A6" w:rsidP="00AC3111">
      <w:r>
        <w:separator/>
      </w:r>
    </w:p>
  </w:footnote>
  <w:footnote w:type="continuationSeparator" w:id="0">
    <w:p w:rsidR="007B58A6" w:rsidRDefault="007B58A6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/>
    </w:tblPr>
    <w:tblGrid>
      <w:gridCol w:w="2873"/>
      <w:gridCol w:w="6181"/>
    </w:tblGrid>
    <w:tr w:rsidR="007B58A6" w:rsidTr="00615308">
      <w:trPr>
        <w:trHeight w:val="280"/>
      </w:trPr>
      <w:tc>
        <w:tcPr>
          <w:tcW w:w="3085" w:type="dxa"/>
          <w:vMerge w:val="restart"/>
          <w:vAlign w:val="center"/>
        </w:tcPr>
        <w:p w:rsidR="007B58A6" w:rsidRPr="00615308" w:rsidRDefault="007B58A6" w:rsidP="00615308">
          <w:pPr>
            <w:jc w:val="center"/>
            <w:rPr>
              <w:sz w:val="22"/>
              <w:szCs w:val="22"/>
            </w:rPr>
          </w:pPr>
          <w:r w:rsidRPr="00615308">
            <w:rPr>
              <w:noProof/>
              <w:sz w:val="22"/>
              <w:szCs w:val="22"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IAT3" style="width:72.75pt;height:45.75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7B58A6" w:rsidRPr="00615308" w:rsidRDefault="007B58A6" w:rsidP="00615308">
          <w:pPr>
            <w:spacing w:before="120" w:after="120"/>
            <w:jc w:val="center"/>
            <w:rPr>
              <w:rFonts w:ascii="Verdana" w:hAnsi="Verdana"/>
              <w:color w:val="FFFFFF"/>
              <w:sz w:val="20"/>
              <w:szCs w:val="22"/>
            </w:rPr>
          </w:pPr>
          <w:r w:rsidRPr="00615308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7B58A6" w:rsidTr="00615308">
      <w:trPr>
        <w:trHeight w:val="510"/>
      </w:trPr>
      <w:tc>
        <w:tcPr>
          <w:tcW w:w="3085" w:type="dxa"/>
          <w:vMerge/>
        </w:tcPr>
        <w:p w:rsidR="007B58A6" w:rsidRPr="00615308" w:rsidRDefault="007B58A6" w:rsidP="00615308">
          <w:pPr>
            <w:jc w:val="center"/>
            <w:rPr>
              <w:sz w:val="22"/>
              <w:szCs w:val="22"/>
            </w:rPr>
          </w:pPr>
        </w:p>
      </w:tc>
      <w:tc>
        <w:tcPr>
          <w:tcW w:w="7029" w:type="dxa"/>
          <w:vAlign w:val="center"/>
        </w:tcPr>
        <w:p w:rsidR="007B58A6" w:rsidRPr="00615308" w:rsidRDefault="007B58A6" w:rsidP="00615308">
          <w:pPr>
            <w:jc w:val="center"/>
            <w:rPr>
              <w:rFonts w:ascii="Verdana" w:hAnsi="Verdana"/>
              <w:color w:val="003399"/>
              <w:sz w:val="22"/>
              <w:szCs w:val="22"/>
            </w:rPr>
          </w:pPr>
          <w:r w:rsidRPr="00615308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TERRA</w:t>
          </w:r>
        </w:p>
      </w:tc>
    </w:tr>
  </w:tbl>
  <w:p w:rsidR="007B58A6" w:rsidRDefault="007B58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</w:abstractNum>
  <w:abstractNum w:abstractNumId="3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477597"/>
    <w:multiLevelType w:val="hybridMultilevel"/>
    <w:tmpl w:val="D65631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1F"/>
    <w:rsid w:val="00006320"/>
    <w:rsid w:val="000134E2"/>
    <w:rsid w:val="000147A9"/>
    <w:rsid w:val="000360B4"/>
    <w:rsid w:val="0004191F"/>
    <w:rsid w:val="00050D9D"/>
    <w:rsid w:val="000600BA"/>
    <w:rsid w:val="00060997"/>
    <w:rsid w:val="00086D3C"/>
    <w:rsid w:val="000A6251"/>
    <w:rsid w:val="000A7545"/>
    <w:rsid w:val="000B5B9F"/>
    <w:rsid w:val="000C2310"/>
    <w:rsid w:val="000D0CE4"/>
    <w:rsid w:val="000D4D58"/>
    <w:rsid w:val="000E1AFE"/>
    <w:rsid w:val="00113CF4"/>
    <w:rsid w:val="00130790"/>
    <w:rsid w:val="0014231B"/>
    <w:rsid w:val="00154D88"/>
    <w:rsid w:val="00163145"/>
    <w:rsid w:val="0016702B"/>
    <w:rsid w:val="001677E0"/>
    <w:rsid w:val="00175EDC"/>
    <w:rsid w:val="001E370D"/>
    <w:rsid w:val="001F597E"/>
    <w:rsid w:val="002148A1"/>
    <w:rsid w:val="00244102"/>
    <w:rsid w:val="00250B0C"/>
    <w:rsid w:val="002571A4"/>
    <w:rsid w:val="002579D3"/>
    <w:rsid w:val="00296BB9"/>
    <w:rsid w:val="002A4AA2"/>
    <w:rsid w:val="003029D9"/>
    <w:rsid w:val="00331964"/>
    <w:rsid w:val="00354F74"/>
    <w:rsid w:val="00367172"/>
    <w:rsid w:val="003675D5"/>
    <w:rsid w:val="003A041B"/>
    <w:rsid w:val="003B1EEB"/>
    <w:rsid w:val="004055F7"/>
    <w:rsid w:val="004352E1"/>
    <w:rsid w:val="00454DB8"/>
    <w:rsid w:val="00486EBE"/>
    <w:rsid w:val="0049633B"/>
    <w:rsid w:val="004D48E2"/>
    <w:rsid w:val="004E5377"/>
    <w:rsid w:val="004E5AB4"/>
    <w:rsid w:val="00500C0F"/>
    <w:rsid w:val="0050222B"/>
    <w:rsid w:val="005041EB"/>
    <w:rsid w:val="00522803"/>
    <w:rsid w:val="00522D53"/>
    <w:rsid w:val="00525D58"/>
    <w:rsid w:val="00552C89"/>
    <w:rsid w:val="0055322A"/>
    <w:rsid w:val="005576B0"/>
    <w:rsid w:val="0058289E"/>
    <w:rsid w:val="005868B8"/>
    <w:rsid w:val="005A5A9B"/>
    <w:rsid w:val="005A6A10"/>
    <w:rsid w:val="005B51D3"/>
    <w:rsid w:val="005C39F5"/>
    <w:rsid w:val="005C4E0D"/>
    <w:rsid w:val="005D4E2B"/>
    <w:rsid w:val="00604F5F"/>
    <w:rsid w:val="00610663"/>
    <w:rsid w:val="00615308"/>
    <w:rsid w:val="00644815"/>
    <w:rsid w:val="006614A9"/>
    <w:rsid w:val="006961E7"/>
    <w:rsid w:val="006D7368"/>
    <w:rsid w:val="006E0C08"/>
    <w:rsid w:val="006E2DC6"/>
    <w:rsid w:val="00704F0E"/>
    <w:rsid w:val="0072434D"/>
    <w:rsid w:val="00730062"/>
    <w:rsid w:val="007516C7"/>
    <w:rsid w:val="00763BC2"/>
    <w:rsid w:val="007833D1"/>
    <w:rsid w:val="00796268"/>
    <w:rsid w:val="007B58A6"/>
    <w:rsid w:val="007D2818"/>
    <w:rsid w:val="0081428C"/>
    <w:rsid w:val="00837605"/>
    <w:rsid w:val="0089008B"/>
    <w:rsid w:val="00894141"/>
    <w:rsid w:val="008A2A29"/>
    <w:rsid w:val="008B2C84"/>
    <w:rsid w:val="008D00D0"/>
    <w:rsid w:val="008D78F3"/>
    <w:rsid w:val="009012E8"/>
    <w:rsid w:val="00903D95"/>
    <w:rsid w:val="00910A68"/>
    <w:rsid w:val="0094477A"/>
    <w:rsid w:val="009521BD"/>
    <w:rsid w:val="0096090C"/>
    <w:rsid w:val="00967DA8"/>
    <w:rsid w:val="00967FA1"/>
    <w:rsid w:val="00987B1C"/>
    <w:rsid w:val="009916B9"/>
    <w:rsid w:val="009953B4"/>
    <w:rsid w:val="009C664B"/>
    <w:rsid w:val="009D6041"/>
    <w:rsid w:val="009E27B7"/>
    <w:rsid w:val="009E66BB"/>
    <w:rsid w:val="00A06E9E"/>
    <w:rsid w:val="00A21681"/>
    <w:rsid w:val="00A30758"/>
    <w:rsid w:val="00A631ED"/>
    <w:rsid w:val="00A91FC2"/>
    <w:rsid w:val="00AA0678"/>
    <w:rsid w:val="00AB182E"/>
    <w:rsid w:val="00AC3111"/>
    <w:rsid w:val="00AE7290"/>
    <w:rsid w:val="00B05479"/>
    <w:rsid w:val="00B32268"/>
    <w:rsid w:val="00B33242"/>
    <w:rsid w:val="00B6324A"/>
    <w:rsid w:val="00B663CB"/>
    <w:rsid w:val="00B67D0D"/>
    <w:rsid w:val="00B700DA"/>
    <w:rsid w:val="00B8321F"/>
    <w:rsid w:val="00B85739"/>
    <w:rsid w:val="00B963E5"/>
    <w:rsid w:val="00BD38B7"/>
    <w:rsid w:val="00BE1042"/>
    <w:rsid w:val="00BE2762"/>
    <w:rsid w:val="00BE5AE8"/>
    <w:rsid w:val="00BE768D"/>
    <w:rsid w:val="00BF7A10"/>
    <w:rsid w:val="00C10EB1"/>
    <w:rsid w:val="00C53B40"/>
    <w:rsid w:val="00C62722"/>
    <w:rsid w:val="00C96084"/>
    <w:rsid w:val="00CA6B16"/>
    <w:rsid w:val="00CB102D"/>
    <w:rsid w:val="00CE5743"/>
    <w:rsid w:val="00D26BC4"/>
    <w:rsid w:val="00D5517D"/>
    <w:rsid w:val="00D60DED"/>
    <w:rsid w:val="00D92E20"/>
    <w:rsid w:val="00DA7856"/>
    <w:rsid w:val="00DF0709"/>
    <w:rsid w:val="00DF3B22"/>
    <w:rsid w:val="00E2592B"/>
    <w:rsid w:val="00E407D2"/>
    <w:rsid w:val="00E40B3E"/>
    <w:rsid w:val="00E448A3"/>
    <w:rsid w:val="00E503D6"/>
    <w:rsid w:val="00E52BF4"/>
    <w:rsid w:val="00E91C91"/>
    <w:rsid w:val="00E93C53"/>
    <w:rsid w:val="00EF591D"/>
    <w:rsid w:val="00F21029"/>
    <w:rsid w:val="00F77EB5"/>
    <w:rsid w:val="00F80A43"/>
    <w:rsid w:val="00F82897"/>
    <w:rsid w:val="00F92986"/>
    <w:rsid w:val="00FB28D8"/>
    <w:rsid w:val="00FD1E4C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1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841</Words>
  <Characters>4629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COMPAQ</cp:lastModifiedBy>
  <cp:revision>10</cp:revision>
  <cp:lastPrinted>2010-03-16T19:08:00Z</cp:lastPrinted>
  <dcterms:created xsi:type="dcterms:W3CDTF">2008-07-30T23:59:00Z</dcterms:created>
  <dcterms:modified xsi:type="dcterms:W3CDTF">2010-03-16T19:09:00Z</dcterms:modified>
</cp:coreProperties>
</file>